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suppressAutoHyphens w:val="1"/>
        <w:spacing w:before="0" w:line="480" w:lineRule="auto"/>
        <w:jc w:val="center"/>
        <w:rPr>
          <w:rFonts w:ascii="Calibri" w:cs="Calibri" w:hAnsi="Calibri" w:eastAsia="Calibri"/>
          <w:sz w:val="28"/>
          <w:szCs w:val="28"/>
          <w:shd w:val="clear" w:color="auto" w:fill="ffffff"/>
        </w:rPr>
      </w:pPr>
      <w:r>
        <w:rPr>
          <w:rFonts w:ascii="Calibri" w:hAnsi="Calibri" w:hint="default"/>
          <w:sz w:val="28"/>
          <w:szCs w:val="28"/>
          <w:shd w:val="clear" w:color="auto" w:fill="ffffff"/>
          <w:rtl w:val="0"/>
          <w:lang w:val="en-US"/>
        </w:rPr>
        <w:t>“</w:t>
      </w:r>
      <w:r>
        <w:rPr>
          <w:rFonts w:ascii="Calibri" w:hAnsi="Calibri"/>
          <w:sz w:val="28"/>
          <w:szCs w:val="28"/>
          <w:shd w:val="clear" w:color="auto" w:fill="ffffff"/>
          <w:rtl w:val="0"/>
          <w:lang w:val="en-US"/>
        </w:rPr>
        <w:t>Come and Converse</w:t>
      </w:r>
      <w:r>
        <w:rPr>
          <w:rFonts w:ascii="Calibri" w:hAnsi="Calibri" w:hint="default"/>
          <w:sz w:val="28"/>
          <w:szCs w:val="28"/>
          <w:shd w:val="clear" w:color="auto" w:fill="ffffff"/>
          <w:rtl w:val="0"/>
          <w:lang w:val="en-US"/>
        </w:rPr>
        <w:t xml:space="preserve">” </w:t>
      </w:r>
      <w:r>
        <w:rPr>
          <w:rFonts w:ascii="Calibri" w:hAnsi="Calibri"/>
          <w:sz w:val="28"/>
          <w:szCs w:val="28"/>
          <w:shd w:val="clear" w:color="auto" w:fill="ffffff"/>
          <w:rtl w:val="0"/>
          <w:lang w:val="en-US"/>
        </w:rPr>
        <w:t>- Stephanie Sorge, 9/27/26 (Church retreat)</w:t>
      </w:r>
    </w:p>
    <w:p>
      <w:pPr>
        <w:pStyle w:val="Default"/>
        <w:suppressAutoHyphens w:val="1"/>
        <w:spacing w:before="0" w:line="480" w:lineRule="auto"/>
        <w:rPr>
          <w:rFonts w:ascii="Calibri" w:cs="Calibri" w:hAnsi="Calibri" w:eastAsia="Calibri"/>
          <w:sz w:val="28"/>
          <w:szCs w:val="28"/>
          <w:shd w:val="clear" w:color="auto" w:fill="ffffff"/>
        </w:rPr>
      </w:pPr>
      <w:r>
        <w:rPr>
          <w:rFonts w:ascii="Calibri" w:cs="Calibri" w:hAnsi="Calibri" w:eastAsia="Calibri"/>
          <w:sz w:val="28"/>
          <w:szCs w:val="28"/>
          <w:shd w:val="clear" w:color="auto" w:fill="ffffff"/>
          <w:rtl w:val="0"/>
        </w:rPr>
        <w:tab/>
        <w:t xml:space="preserve">This 15th chapter of Acts is a great example of how the early church worked through a major dispute. I cut out a number of verses, but basically, Paul and Barnabas were sent to Jerusalem, to the council of apostles and elders, to argue that Gentiles should not have to be circumcised in order to convert. They built public support as they traveled to Jerusalem, and continued to build their case with the council. Peter and James both spoke favorably following the opening arguments, and finally, it was decided. Gentiles would not have to be circumcised in order to convert - they just needed to live in accordance with other parts of the law. And lo, there was great rejoicing when news of the verdict spread to the Gentiles awaiting the decision. </w:t>
      </w:r>
    </w:p>
    <w:p>
      <w:pPr>
        <w:pStyle w:val="Default"/>
        <w:suppressAutoHyphens w:val="1"/>
        <w:spacing w:before="0" w:line="480" w:lineRule="auto"/>
        <w:rPr>
          <w:rFonts w:ascii="Calibri" w:cs="Calibri" w:hAnsi="Calibri" w:eastAsia="Calibri"/>
          <w:sz w:val="28"/>
          <w:szCs w:val="28"/>
          <w:shd w:val="clear" w:color="auto" w:fill="ffffff"/>
        </w:rPr>
      </w:pPr>
      <w:r>
        <w:rPr>
          <w:rFonts w:ascii="Calibri" w:cs="Calibri" w:hAnsi="Calibri" w:eastAsia="Calibri"/>
          <w:sz w:val="28"/>
          <w:szCs w:val="28"/>
          <w:shd w:val="clear" w:color="auto" w:fill="ffffff"/>
          <w:rtl w:val="0"/>
        </w:rPr>
        <w:tab/>
        <w:t>This conflict wasn</w:t>
      </w:r>
      <w:r>
        <w:rPr>
          <w:rFonts w:ascii="Calibri" w:hAnsi="Calibri" w:hint="default"/>
          <w:sz w:val="28"/>
          <w:szCs w:val="28"/>
          <w:shd w:val="clear" w:color="auto" w:fill="ffffff"/>
          <w:rtl w:val="0"/>
          <w:lang w:val="en-US"/>
        </w:rPr>
        <w:t>’</w:t>
      </w:r>
      <w:r>
        <w:rPr>
          <w:rFonts w:ascii="Calibri" w:hAnsi="Calibri"/>
          <w:sz w:val="28"/>
          <w:szCs w:val="28"/>
          <w:shd w:val="clear" w:color="auto" w:fill="ffffff"/>
          <w:rtl w:val="0"/>
          <w:lang w:val="en-US"/>
        </w:rPr>
        <w:t xml:space="preserve">t just about a certain surgical procedure. It enters what Priya Parker calls </w:t>
      </w:r>
      <w:r>
        <w:rPr>
          <w:rFonts w:ascii="Calibri" w:hAnsi="Calibri" w:hint="default"/>
          <w:sz w:val="28"/>
          <w:szCs w:val="28"/>
          <w:shd w:val="clear" w:color="auto" w:fill="ffffff"/>
          <w:rtl w:val="0"/>
          <w:lang w:val="en-US"/>
        </w:rPr>
        <w:t>“</w:t>
      </w:r>
      <w:r>
        <w:rPr>
          <w:rFonts w:ascii="Calibri" w:hAnsi="Calibri"/>
          <w:sz w:val="28"/>
          <w:szCs w:val="28"/>
          <w:shd w:val="clear" w:color="auto" w:fill="ffffff"/>
          <w:rtl w:val="0"/>
          <w:lang w:val="en-US"/>
        </w:rPr>
        <w:t>existentialist territory, when the fight starts to touch on a group</w:t>
      </w:r>
      <w:r>
        <w:rPr>
          <w:rFonts w:ascii="Calibri" w:hAnsi="Calibri" w:hint="default"/>
          <w:sz w:val="28"/>
          <w:szCs w:val="28"/>
          <w:shd w:val="clear" w:color="auto" w:fill="ffffff"/>
          <w:rtl w:val="1"/>
        </w:rPr>
        <w:t>’</w:t>
      </w:r>
      <w:r>
        <w:rPr>
          <w:rFonts w:ascii="Calibri" w:hAnsi="Calibri"/>
          <w:sz w:val="28"/>
          <w:szCs w:val="28"/>
          <w:shd w:val="clear" w:color="auto" w:fill="ffffff"/>
          <w:rtl w:val="0"/>
          <w:lang w:val="en-US"/>
        </w:rPr>
        <w:t>s us-ness: Who are we, and what are we about?</w:t>
      </w:r>
      <w:r>
        <w:rPr>
          <w:rFonts w:ascii="Calibri" w:hAnsi="Calibri" w:hint="default"/>
          <w:sz w:val="28"/>
          <w:szCs w:val="28"/>
          <w:shd w:val="clear" w:color="auto" w:fill="ffffff"/>
          <w:rtl w:val="0"/>
          <w:lang w:val="en-US"/>
        </w:rPr>
        <w:t>”</w:t>
      </w:r>
      <w:r>
        <w:rPr>
          <w:rFonts w:ascii="Calibri" w:cs="Calibri" w:hAnsi="Calibri" w:eastAsia="Calibri"/>
          <w:sz w:val="28"/>
          <w:szCs w:val="28"/>
          <w:shd w:val="clear" w:color="auto" w:fill="ffffff"/>
          <w:vertAlign w:val="superscript"/>
        </w:rPr>
        <w:footnoteReference w:id="1"/>
      </w:r>
      <w:r>
        <w:rPr>
          <w:rFonts w:ascii="Calibri" w:hAnsi="Calibri"/>
          <w:sz w:val="28"/>
          <w:szCs w:val="28"/>
          <w:shd w:val="clear" w:color="auto" w:fill="ffffff"/>
          <w:rtl w:val="0"/>
          <w:lang w:val="en-US"/>
        </w:rPr>
        <w:t xml:space="preserve"> Parker is an author, speaker, and facilitator who is fascinated by group dynamics. In 2018, she published </w:t>
      </w:r>
      <w:r>
        <w:rPr>
          <w:rFonts w:ascii="Calibri" w:hAnsi="Calibri"/>
          <w:i w:val="1"/>
          <w:iCs w:val="1"/>
          <w:sz w:val="28"/>
          <w:szCs w:val="28"/>
          <w:shd w:val="clear" w:color="auto" w:fill="ffffff"/>
          <w:rtl w:val="0"/>
          <w:lang w:val="en-US"/>
        </w:rPr>
        <w:t>The Art of Gathering</w:t>
      </w:r>
      <w:r>
        <w:rPr>
          <w:rFonts w:ascii="Calibri" w:hAnsi="Calibri"/>
          <w:sz w:val="28"/>
          <w:szCs w:val="28"/>
          <w:shd w:val="clear" w:color="auto" w:fill="ffffff"/>
          <w:rtl w:val="0"/>
          <w:lang w:val="en-US"/>
        </w:rPr>
        <w:t xml:space="preserve">, a guide for rethinking how we gather in ways that focus on genuine connection. Earlier this month, her second book was published: </w:t>
      </w:r>
      <w:r>
        <w:rPr>
          <w:rFonts w:ascii="Calibri" w:hAnsi="Calibri"/>
          <w:i w:val="1"/>
          <w:iCs w:val="1"/>
          <w:sz w:val="28"/>
          <w:szCs w:val="28"/>
          <w:shd w:val="clear" w:color="auto" w:fill="ffffff"/>
          <w:rtl w:val="0"/>
          <w:lang w:val="en-US"/>
        </w:rPr>
        <w:t>The Art of Fighting</w:t>
      </w:r>
      <w:r>
        <w:rPr>
          <w:rFonts w:ascii="Calibri" w:hAnsi="Calibri"/>
          <w:sz w:val="28"/>
          <w:szCs w:val="28"/>
          <w:shd w:val="clear" w:color="auto" w:fill="ffffff"/>
          <w:rtl w:val="0"/>
          <w:lang w:val="en-US"/>
        </w:rPr>
        <w:t>. In it, she argues - no pun intended - that fighting is necessary for building strong communities and relationships. She is a self-described conflict-averse practitioner of conflict resolution, so she</w:t>
      </w:r>
      <w:r>
        <w:rPr>
          <w:rFonts w:ascii="Calibri" w:hAnsi="Calibri" w:hint="default"/>
          <w:sz w:val="28"/>
          <w:szCs w:val="28"/>
          <w:shd w:val="clear" w:color="auto" w:fill="ffffff"/>
          <w:rtl w:val="0"/>
          <w:lang w:val="en-US"/>
        </w:rPr>
        <w:t>’</w:t>
      </w:r>
      <w:r>
        <w:rPr>
          <w:rFonts w:ascii="Calibri" w:hAnsi="Calibri"/>
          <w:sz w:val="28"/>
          <w:szCs w:val="28"/>
          <w:shd w:val="clear" w:color="auto" w:fill="ffffff"/>
          <w:rtl w:val="0"/>
          <w:lang w:val="en-US"/>
        </w:rPr>
        <w:t xml:space="preserve">s not just looking to pick a fight.  </w:t>
      </w:r>
    </w:p>
    <w:p>
      <w:pPr>
        <w:pStyle w:val="Default"/>
        <w:suppressAutoHyphens w:val="1"/>
        <w:spacing w:before="0" w:line="480" w:lineRule="auto"/>
        <w:rPr>
          <w:rFonts w:ascii="Calibri" w:cs="Calibri" w:hAnsi="Calibri" w:eastAsia="Calibri"/>
          <w:sz w:val="28"/>
          <w:szCs w:val="28"/>
          <w:shd w:val="clear" w:color="auto" w:fill="ffffff"/>
        </w:rPr>
      </w:pPr>
      <w:r>
        <w:rPr>
          <w:rFonts w:ascii="Calibri" w:cs="Calibri" w:hAnsi="Calibri" w:eastAsia="Calibri"/>
          <w:sz w:val="28"/>
          <w:szCs w:val="28"/>
          <w:shd w:val="clear" w:color="auto" w:fill="ffffff"/>
          <w:rtl w:val="0"/>
        </w:rPr>
        <w:tab/>
        <w:t>The early church was trying to figure out who they were, and what was essential to being whatever that was. They rejected the requirement of circumcision, but highlighted other questions that had also been asked around conversion. The things they wanted converts to avoid were all tied to the worship of other gods. I don</w:t>
      </w:r>
      <w:r>
        <w:rPr>
          <w:rFonts w:ascii="Calibri" w:hAnsi="Calibri" w:hint="default"/>
          <w:sz w:val="28"/>
          <w:szCs w:val="28"/>
          <w:shd w:val="clear" w:color="auto" w:fill="ffffff"/>
          <w:rtl w:val="0"/>
          <w:lang w:val="en-US"/>
        </w:rPr>
        <w:t>’</w:t>
      </w:r>
      <w:r>
        <w:rPr>
          <w:rFonts w:ascii="Calibri" w:hAnsi="Calibri"/>
          <w:sz w:val="28"/>
          <w:szCs w:val="28"/>
          <w:shd w:val="clear" w:color="auto" w:fill="ffffff"/>
          <w:rtl w:val="0"/>
          <w:lang w:val="en-US"/>
        </w:rPr>
        <w:t>t think I</w:t>
      </w:r>
      <w:r>
        <w:rPr>
          <w:rFonts w:ascii="Calibri" w:hAnsi="Calibri" w:hint="default"/>
          <w:sz w:val="28"/>
          <w:szCs w:val="28"/>
          <w:shd w:val="clear" w:color="auto" w:fill="ffffff"/>
          <w:rtl w:val="0"/>
          <w:lang w:val="en-US"/>
        </w:rPr>
        <w:t>’</w:t>
      </w:r>
      <w:r>
        <w:rPr>
          <w:rFonts w:ascii="Calibri" w:hAnsi="Calibri"/>
          <w:sz w:val="28"/>
          <w:szCs w:val="28"/>
          <w:shd w:val="clear" w:color="auto" w:fill="ffffff"/>
          <w:rtl w:val="0"/>
          <w:lang w:val="en-US"/>
        </w:rPr>
        <w:t>ve ever heard anyone argue that we should go back to Jewish dietary restrictions, but this passage and others like it are often used to try to control bodies and legislate sexuality. It</w:t>
      </w:r>
      <w:r>
        <w:rPr>
          <w:rFonts w:ascii="Calibri" w:hAnsi="Calibri" w:hint="default"/>
          <w:sz w:val="28"/>
          <w:szCs w:val="28"/>
          <w:shd w:val="clear" w:color="auto" w:fill="ffffff"/>
          <w:rtl w:val="0"/>
          <w:lang w:val="en-US"/>
        </w:rPr>
        <w:t>’</w:t>
      </w:r>
      <w:r>
        <w:rPr>
          <w:rFonts w:ascii="Calibri" w:hAnsi="Calibri"/>
          <w:sz w:val="28"/>
          <w:szCs w:val="28"/>
          <w:shd w:val="clear" w:color="auto" w:fill="ffffff"/>
          <w:rtl w:val="0"/>
          <w:lang w:val="en-US"/>
        </w:rPr>
        <w:t>s funny what we focus on, and what we don</w:t>
      </w:r>
      <w:r>
        <w:rPr>
          <w:rFonts w:ascii="Calibri" w:hAnsi="Calibri" w:hint="default"/>
          <w:sz w:val="28"/>
          <w:szCs w:val="28"/>
          <w:shd w:val="clear" w:color="auto" w:fill="ffffff"/>
          <w:rtl w:val="0"/>
          <w:lang w:val="en-US"/>
        </w:rPr>
        <w:t>’</w:t>
      </w:r>
      <w:r>
        <w:rPr>
          <w:rFonts w:ascii="Calibri" w:hAnsi="Calibri"/>
          <w:sz w:val="28"/>
          <w:szCs w:val="28"/>
          <w:shd w:val="clear" w:color="auto" w:fill="ffffff"/>
          <w:rtl w:val="0"/>
          <w:lang w:val="en-US"/>
        </w:rPr>
        <w:t xml:space="preserve">t.  Essentially, the council decided that the most important thing for converts was that they should live as converted people, no longer practicing the rites they were leaving behind. </w:t>
      </w:r>
    </w:p>
    <w:p>
      <w:pPr>
        <w:pStyle w:val="Default"/>
        <w:suppressAutoHyphens w:val="1"/>
        <w:spacing w:before="0" w:line="480" w:lineRule="auto"/>
        <w:rPr>
          <w:rFonts w:ascii="Calibri" w:cs="Calibri" w:hAnsi="Calibri" w:eastAsia="Calibri"/>
          <w:sz w:val="28"/>
          <w:szCs w:val="28"/>
          <w:shd w:val="clear" w:color="auto" w:fill="ffffff"/>
        </w:rPr>
      </w:pPr>
      <w:r>
        <w:rPr>
          <w:rFonts w:ascii="Calibri" w:cs="Calibri" w:hAnsi="Calibri" w:eastAsia="Calibri"/>
          <w:sz w:val="28"/>
          <w:szCs w:val="28"/>
          <w:shd w:val="clear" w:color="auto" w:fill="ffffff"/>
          <w:rtl w:val="0"/>
        </w:rPr>
        <w:tab/>
        <w:t>One of the best things about this 15th chapter of Acts, at least to my particular sense of humor, is the final scene. We have this huge narrative full of conversation, deliberation, debate, and unity around a certain outcome. And then, Paul and Barnabas get into a fight with each other over who to invite on their next big trip. In fairness, having good traveling companions is pretty important. I can understand where Paul is coming from. I don</w:t>
      </w:r>
      <w:r>
        <w:rPr>
          <w:rFonts w:ascii="Calibri" w:hAnsi="Calibri" w:hint="default"/>
          <w:sz w:val="28"/>
          <w:szCs w:val="28"/>
          <w:shd w:val="clear" w:color="auto" w:fill="ffffff"/>
          <w:rtl w:val="0"/>
          <w:lang w:val="en-US"/>
        </w:rPr>
        <w:t>’</w:t>
      </w:r>
      <w:r>
        <w:rPr>
          <w:rFonts w:ascii="Calibri" w:hAnsi="Calibri"/>
          <w:sz w:val="28"/>
          <w:szCs w:val="28"/>
          <w:shd w:val="clear" w:color="auto" w:fill="ffffff"/>
          <w:rtl w:val="0"/>
          <w:lang w:val="en-US"/>
        </w:rPr>
        <w:t>t want to commit to a long voyage in close quarters with someone I don</w:t>
      </w:r>
      <w:r>
        <w:rPr>
          <w:rFonts w:ascii="Calibri" w:hAnsi="Calibri" w:hint="default"/>
          <w:sz w:val="28"/>
          <w:szCs w:val="28"/>
          <w:shd w:val="clear" w:color="auto" w:fill="ffffff"/>
          <w:rtl w:val="0"/>
          <w:lang w:val="en-US"/>
        </w:rPr>
        <w:t>’</w:t>
      </w:r>
      <w:r>
        <w:rPr>
          <w:rFonts w:ascii="Calibri" w:hAnsi="Calibri"/>
          <w:sz w:val="28"/>
          <w:szCs w:val="28"/>
          <w:shd w:val="clear" w:color="auto" w:fill="ffffff"/>
          <w:rtl w:val="0"/>
          <w:lang w:val="en-US"/>
        </w:rPr>
        <w:t>t trust, against whom I still hold a grudge. It</w:t>
      </w:r>
      <w:r>
        <w:rPr>
          <w:rFonts w:ascii="Calibri" w:hAnsi="Calibri" w:hint="default"/>
          <w:sz w:val="28"/>
          <w:szCs w:val="28"/>
          <w:shd w:val="clear" w:color="auto" w:fill="ffffff"/>
          <w:rtl w:val="0"/>
          <w:lang w:val="en-US"/>
        </w:rPr>
        <w:t>’</w:t>
      </w:r>
      <w:r>
        <w:rPr>
          <w:rFonts w:ascii="Calibri" w:hAnsi="Calibri"/>
          <w:sz w:val="28"/>
          <w:szCs w:val="28"/>
          <w:shd w:val="clear" w:color="auto" w:fill="ffffff"/>
          <w:rtl w:val="0"/>
          <w:lang w:val="en-US"/>
        </w:rPr>
        <w:t>s not a small thing, but it</w:t>
      </w:r>
      <w:r>
        <w:rPr>
          <w:rFonts w:ascii="Calibri" w:hAnsi="Calibri" w:hint="default"/>
          <w:sz w:val="28"/>
          <w:szCs w:val="28"/>
          <w:shd w:val="clear" w:color="auto" w:fill="ffffff"/>
          <w:rtl w:val="0"/>
          <w:lang w:val="en-US"/>
        </w:rPr>
        <w:t>’</w:t>
      </w:r>
      <w:r>
        <w:rPr>
          <w:rFonts w:ascii="Calibri" w:hAnsi="Calibri"/>
          <w:sz w:val="28"/>
          <w:szCs w:val="28"/>
          <w:shd w:val="clear" w:color="auto" w:fill="ffffff"/>
          <w:rtl w:val="0"/>
          <w:lang w:val="en-US"/>
        </w:rPr>
        <w:t xml:space="preserve">s also not an existential conflict. It was just a regular disagreement, and rather than coming to a compromise, they simply went their separate ways. </w:t>
      </w:r>
    </w:p>
    <w:p>
      <w:pPr>
        <w:pStyle w:val="Default"/>
        <w:suppressAutoHyphens w:val="1"/>
        <w:spacing w:before="0" w:line="480" w:lineRule="auto"/>
        <w:rPr>
          <w:rFonts w:ascii="Calibri" w:cs="Calibri" w:hAnsi="Calibri" w:eastAsia="Calibri"/>
          <w:sz w:val="28"/>
          <w:szCs w:val="28"/>
          <w:shd w:val="clear" w:color="auto" w:fill="ffffff"/>
        </w:rPr>
      </w:pPr>
      <w:r>
        <w:rPr>
          <w:rFonts w:ascii="Calibri" w:cs="Calibri" w:hAnsi="Calibri" w:eastAsia="Calibri"/>
          <w:sz w:val="28"/>
          <w:szCs w:val="28"/>
          <w:shd w:val="clear" w:color="auto" w:fill="ffffff"/>
          <w:rtl w:val="0"/>
        </w:rPr>
        <w:tab/>
        <w:t xml:space="preserve">Priya Parker was asked recently about the role of compromise in conflict. The interviewer asks, </w:t>
      </w:r>
      <w:r>
        <w:rPr>
          <w:rFonts w:ascii="Calibri" w:hAnsi="Calibri" w:hint="default"/>
          <w:sz w:val="28"/>
          <w:szCs w:val="28"/>
          <w:shd w:val="clear" w:color="auto" w:fill="ffffff"/>
          <w:rtl w:val="0"/>
          <w:lang w:val="en-US"/>
        </w:rPr>
        <w:t>“…</w:t>
      </w:r>
      <w:r>
        <w:rPr>
          <w:rFonts w:ascii="Calibri" w:hAnsi="Calibri"/>
          <w:sz w:val="28"/>
          <w:szCs w:val="28"/>
          <w:shd w:val="clear" w:color="auto" w:fill="ffffff"/>
          <w:rtl w:val="0"/>
          <w:lang w:val="en-US"/>
        </w:rPr>
        <w:t>When I think back through my career, there have been moments when, rather than engage in conflict, I</w:t>
      </w:r>
      <w:r>
        <w:rPr>
          <w:rFonts w:ascii="Calibri" w:hAnsi="Calibri" w:hint="default"/>
          <w:sz w:val="28"/>
          <w:szCs w:val="28"/>
          <w:shd w:val="clear" w:color="auto" w:fill="ffffff"/>
          <w:rtl w:val="1"/>
        </w:rPr>
        <w:t>’</w:t>
      </w:r>
      <w:r>
        <w:rPr>
          <w:rFonts w:ascii="Calibri" w:hAnsi="Calibri"/>
          <w:sz w:val="28"/>
          <w:szCs w:val="28"/>
          <w:shd w:val="clear" w:color="auto" w:fill="ffffff"/>
          <w:rtl w:val="0"/>
          <w:lang w:val="en-US"/>
        </w:rPr>
        <w:t xml:space="preserve">ve compromised </w:t>
      </w:r>
      <w:r>
        <w:rPr>
          <w:rFonts w:ascii="Calibri" w:hAnsi="Calibri" w:hint="default"/>
          <w:sz w:val="28"/>
          <w:szCs w:val="28"/>
          <w:shd w:val="clear" w:color="auto" w:fill="ffffff"/>
          <w:rtl w:val="0"/>
          <w:lang w:val="en-US"/>
        </w:rPr>
        <w:t xml:space="preserve">— </w:t>
      </w:r>
      <w:r>
        <w:rPr>
          <w:rFonts w:ascii="Calibri" w:hAnsi="Calibri"/>
          <w:sz w:val="28"/>
          <w:szCs w:val="28"/>
          <w:shd w:val="clear" w:color="auto" w:fill="ffffff"/>
          <w:rtl w:val="0"/>
          <w:lang w:val="en-US"/>
        </w:rPr>
        <w:t>even in situations where I didn</w:t>
      </w:r>
      <w:r>
        <w:rPr>
          <w:rFonts w:ascii="Calibri" w:hAnsi="Calibri" w:hint="default"/>
          <w:sz w:val="28"/>
          <w:szCs w:val="28"/>
          <w:shd w:val="clear" w:color="auto" w:fill="ffffff"/>
          <w:rtl w:val="1"/>
        </w:rPr>
        <w:t>’</w:t>
      </w:r>
      <w:r>
        <w:rPr>
          <w:rFonts w:ascii="Calibri" w:hAnsi="Calibri"/>
          <w:sz w:val="28"/>
          <w:szCs w:val="28"/>
          <w:shd w:val="clear" w:color="auto" w:fill="ffffff"/>
          <w:rtl w:val="0"/>
          <w:lang w:val="en-US"/>
        </w:rPr>
        <w:t>t think the compromise was ever going to lead to a better outcome. I just thought, I don</w:t>
      </w:r>
      <w:r>
        <w:rPr>
          <w:rFonts w:ascii="Calibri" w:hAnsi="Calibri" w:hint="default"/>
          <w:sz w:val="28"/>
          <w:szCs w:val="28"/>
          <w:shd w:val="clear" w:color="auto" w:fill="ffffff"/>
          <w:rtl w:val="1"/>
        </w:rPr>
        <w:t>’</w:t>
      </w:r>
      <w:r>
        <w:rPr>
          <w:rFonts w:ascii="Calibri" w:hAnsi="Calibri"/>
          <w:sz w:val="28"/>
          <w:szCs w:val="28"/>
          <w:shd w:val="clear" w:color="auto" w:fill="ffffff"/>
          <w:rtl w:val="0"/>
          <w:lang w:val="en-US"/>
        </w:rPr>
        <w:t>t want to deal with it.</w:t>
      </w:r>
      <w:r>
        <w:rPr>
          <w:rFonts w:ascii="Calibri" w:hAnsi="Calibri" w:hint="default"/>
          <w:sz w:val="28"/>
          <w:szCs w:val="28"/>
          <w:shd w:val="clear" w:color="auto" w:fill="ffffff"/>
          <w:rtl w:val="0"/>
          <w:lang w:val="en-US"/>
        </w:rPr>
        <w:t xml:space="preserve">” </w:t>
      </w:r>
      <w:r>
        <w:rPr>
          <w:rFonts w:ascii="Calibri" w:hAnsi="Calibri"/>
          <w:sz w:val="28"/>
          <w:szCs w:val="28"/>
          <w:shd w:val="clear" w:color="auto" w:fill="ffffff"/>
          <w:rtl w:val="0"/>
          <w:lang w:val="en-US"/>
        </w:rPr>
        <w:t xml:space="preserve">Parker responds, </w:t>
      </w:r>
      <w:r>
        <w:rPr>
          <w:rFonts w:ascii="Calibri" w:hAnsi="Calibri" w:hint="default"/>
          <w:sz w:val="28"/>
          <w:szCs w:val="28"/>
          <w:shd w:val="clear" w:color="auto" w:fill="ffffff"/>
          <w:rtl w:val="0"/>
          <w:lang w:val="en-US"/>
        </w:rPr>
        <w:t>“</w:t>
      </w:r>
      <w:r>
        <w:rPr>
          <w:rFonts w:ascii="Calibri" w:hAnsi="Calibri"/>
          <w:sz w:val="28"/>
          <w:szCs w:val="28"/>
          <w:shd w:val="clear" w:color="auto" w:fill="ffffff"/>
          <w:rtl w:val="0"/>
          <w:lang w:val="en-US"/>
        </w:rPr>
        <w:t>But do you want to be in relationship with that person?</w:t>
      </w:r>
      <w:r>
        <w:rPr>
          <w:rFonts w:ascii="Calibri" w:hAnsi="Calibri" w:hint="default"/>
          <w:sz w:val="28"/>
          <w:szCs w:val="28"/>
          <w:shd w:val="clear" w:color="auto" w:fill="ffffff"/>
          <w:rtl w:val="0"/>
          <w:lang w:val="en-US"/>
        </w:rPr>
        <w:t>”</w:t>
      </w:r>
      <w:r>
        <w:rPr>
          <w:rFonts w:ascii="Calibri" w:cs="Calibri" w:hAnsi="Calibri" w:eastAsia="Calibri"/>
          <w:sz w:val="28"/>
          <w:szCs w:val="28"/>
          <w:shd w:val="clear" w:color="auto" w:fill="ffffff"/>
          <w:vertAlign w:val="superscript"/>
        </w:rPr>
        <w:footnoteReference w:id="2"/>
      </w:r>
    </w:p>
    <w:p>
      <w:pPr>
        <w:pStyle w:val="Default"/>
        <w:suppressAutoHyphens w:val="1"/>
        <w:spacing w:before="0" w:line="480" w:lineRule="auto"/>
        <w:rPr>
          <w:rFonts w:ascii="Calibri" w:cs="Calibri" w:hAnsi="Calibri" w:eastAsia="Calibri"/>
          <w:sz w:val="28"/>
          <w:szCs w:val="28"/>
          <w:shd w:val="clear" w:color="auto" w:fill="ffffff"/>
        </w:rPr>
      </w:pPr>
      <w:r>
        <w:rPr>
          <w:rFonts w:ascii="Calibri" w:cs="Calibri" w:hAnsi="Calibri" w:eastAsia="Calibri"/>
          <w:sz w:val="28"/>
          <w:szCs w:val="28"/>
          <w:shd w:val="clear" w:color="auto" w:fill="ffffff"/>
          <w:rtl w:val="0"/>
        </w:rPr>
        <w:tab/>
        <w:t>Conflict is a natural byproduct of relationships. Some of us might be conflict-averse, or maybe we</w:t>
      </w:r>
      <w:r>
        <w:rPr>
          <w:rFonts w:ascii="Calibri" w:hAnsi="Calibri" w:hint="default"/>
          <w:sz w:val="28"/>
          <w:szCs w:val="28"/>
          <w:shd w:val="clear" w:color="auto" w:fill="ffffff"/>
          <w:rtl w:val="0"/>
          <w:lang w:val="en-US"/>
        </w:rPr>
        <w:t>’</w:t>
      </w:r>
      <w:r>
        <w:rPr>
          <w:rFonts w:ascii="Calibri" w:hAnsi="Calibri"/>
          <w:sz w:val="28"/>
          <w:szCs w:val="28"/>
          <w:shd w:val="clear" w:color="auto" w:fill="ffffff"/>
          <w:rtl w:val="0"/>
          <w:lang w:val="en-US"/>
        </w:rPr>
        <w:t>ve been conditioned to think that conflict is inherently bad. It</w:t>
      </w:r>
      <w:r>
        <w:rPr>
          <w:rFonts w:ascii="Calibri" w:hAnsi="Calibri" w:hint="default"/>
          <w:sz w:val="28"/>
          <w:szCs w:val="28"/>
          <w:shd w:val="clear" w:color="auto" w:fill="ffffff"/>
          <w:rtl w:val="0"/>
          <w:lang w:val="en-US"/>
        </w:rPr>
        <w:t>’</w:t>
      </w:r>
      <w:r>
        <w:rPr>
          <w:rFonts w:ascii="Calibri" w:hAnsi="Calibri"/>
          <w:sz w:val="28"/>
          <w:szCs w:val="28"/>
          <w:shd w:val="clear" w:color="auto" w:fill="ffffff"/>
          <w:rtl w:val="0"/>
          <w:lang w:val="en-US"/>
        </w:rPr>
        <w:t>s not. That</w:t>
      </w:r>
      <w:r>
        <w:rPr>
          <w:rFonts w:ascii="Calibri" w:hAnsi="Calibri" w:hint="default"/>
          <w:sz w:val="28"/>
          <w:szCs w:val="28"/>
          <w:shd w:val="clear" w:color="auto" w:fill="ffffff"/>
          <w:rtl w:val="0"/>
          <w:lang w:val="en-US"/>
        </w:rPr>
        <w:t>’</w:t>
      </w:r>
      <w:r>
        <w:rPr>
          <w:rFonts w:ascii="Calibri" w:hAnsi="Calibri"/>
          <w:sz w:val="28"/>
          <w:szCs w:val="28"/>
          <w:shd w:val="clear" w:color="auto" w:fill="ffffff"/>
          <w:rtl w:val="0"/>
          <w:lang w:val="en-US"/>
        </w:rPr>
        <w:t>s not to say there aren</w:t>
      </w:r>
      <w:r>
        <w:rPr>
          <w:rFonts w:ascii="Calibri" w:hAnsi="Calibri" w:hint="default"/>
          <w:sz w:val="28"/>
          <w:szCs w:val="28"/>
          <w:shd w:val="clear" w:color="auto" w:fill="ffffff"/>
          <w:rtl w:val="0"/>
          <w:lang w:val="en-US"/>
        </w:rPr>
        <w:t>’</w:t>
      </w:r>
      <w:r>
        <w:rPr>
          <w:rFonts w:ascii="Calibri" w:hAnsi="Calibri"/>
          <w:sz w:val="28"/>
          <w:szCs w:val="28"/>
          <w:shd w:val="clear" w:color="auto" w:fill="ffffff"/>
          <w:rtl w:val="0"/>
          <w:lang w:val="en-US"/>
        </w:rPr>
        <w:t xml:space="preserve">t better or worse ways of working through conflict. Parker says, </w:t>
      </w:r>
      <w:r>
        <w:rPr>
          <w:rFonts w:ascii="Calibri" w:hAnsi="Calibri" w:hint="default"/>
          <w:sz w:val="28"/>
          <w:szCs w:val="28"/>
          <w:shd w:val="clear" w:color="auto" w:fill="ffffff"/>
          <w:rtl w:val="0"/>
          <w:lang w:val="en-US"/>
        </w:rPr>
        <w:t>“</w:t>
      </w:r>
      <w:r>
        <w:rPr>
          <w:rFonts w:ascii="Calibri" w:hAnsi="Calibri"/>
          <w:sz w:val="28"/>
          <w:szCs w:val="28"/>
          <w:shd w:val="clear" w:color="auto" w:fill="ffffff"/>
          <w:rtl w:val="0"/>
          <w:lang w:val="en-US"/>
        </w:rPr>
        <w:t>If you find yourself in a conflict that is worthy to sort through, that you think is touching on what makes us</w:t>
      </w:r>
      <w:r>
        <w:rPr>
          <w:rFonts w:ascii="Calibri" w:hAnsi="Calibri" w:hint="default"/>
          <w:sz w:val="28"/>
          <w:szCs w:val="28"/>
          <w:shd w:val="clear" w:color="auto" w:fill="ffffff"/>
          <w:rtl w:val="0"/>
        </w:rPr>
        <w:t> </w:t>
      </w:r>
      <w:r>
        <w:rPr>
          <w:rFonts w:ascii="Calibri" w:hAnsi="Calibri"/>
          <w:i w:val="1"/>
          <w:iCs w:val="1"/>
          <w:sz w:val="28"/>
          <w:szCs w:val="28"/>
          <w:shd w:val="clear" w:color="auto" w:fill="ffffff"/>
          <w:rtl w:val="0"/>
        </w:rPr>
        <w:t>us</w:t>
      </w:r>
      <w:r>
        <w:rPr>
          <w:rFonts w:ascii="Calibri" w:hAnsi="Calibri"/>
          <w:sz w:val="28"/>
          <w:szCs w:val="28"/>
          <w:shd w:val="clear" w:color="auto" w:fill="ffffff"/>
          <w:rtl w:val="0"/>
          <w:lang w:val="en-US"/>
        </w:rPr>
        <w:t>, you</w:t>
      </w:r>
      <w:r>
        <w:rPr>
          <w:rFonts w:ascii="Calibri" w:hAnsi="Calibri" w:hint="default"/>
          <w:sz w:val="28"/>
          <w:szCs w:val="28"/>
          <w:shd w:val="clear" w:color="auto" w:fill="ffffff"/>
          <w:rtl w:val="1"/>
        </w:rPr>
        <w:t>’</w:t>
      </w:r>
      <w:r>
        <w:rPr>
          <w:rFonts w:ascii="Calibri" w:hAnsi="Calibri"/>
          <w:sz w:val="28"/>
          <w:szCs w:val="28"/>
          <w:shd w:val="clear" w:color="auto" w:fill="ffffff"/>
          <w:rtl w:val="0"/>
          <w:lang w:val="en-US"/>
        </w:rPr>
        <w:t>re going to need some skills to duke it out.</w:t>
      </w:r>
      <w:r>
        <w:rPr>
          <w:rFonts w:ascii="Calibri" w:hAnsi="Calibri" w:hint="default"/>
          <w:sz w:val="28"/>
          <w:szCs w:val="28"/>
          <w:shd w:val="clear" w:color="auto" w:fill="ffffff"/>
          <w:rtl w:val="0"/>
          <w:lang w:val="en-US"/>
        </w:rPr>
        <w:t>”</w:t>
      </w:r>
      <w:r>
        <w:rPr>
          <w:rFonts w:ascii="Calibri" w:cs="Calibri" w:hAnsi="Calibri" w:eastAsia="Calibri"/>
          <w:sz w:val="28"/>
          <w:szCs w:val="28"/>
          <w:shd w:val="clear" w:color="auto" w:fill="ffffff"/>
          <w:vertAlign w:val="superscript"/>
        </w:rPr>
        <w:footnoteReference w:id="3"/>
      </w:r>
      <w:r>
        <w:rPr>
          <w:rFonts w:ascii="Calibri" w:hAnsi="Calibri"/>
          <w:sz w:val="28"/>
          <w:szCs w:val="28"/>
          <w:shd w:val="clear" w:color="auto" w:fill="ffffff"/>
          <w:rtl w:val="0"/>
          <w:lang w:val="en-US"/>
        </w:rPr>
        <w:t xml:space="preserve"> We need to identify and name when conflict is happening, decide how important it is to us, and learn how to move through it in a healthy and constructive way so we can stay connected. The other option? We go our separate ways. </w:t>
      </w:r>
    </w:p>
    <w:p>
      <w:pPr>
        <w:pStyle w:val="Default"/>
        <w:suppressAutoHyphens w:val="1"/>
        <w:spacing w:before="0" w:line="480" w:lineRule="auto"/>
        <w:rPr>
          <w:rFonts w:ascii="Calibri" w:cs="Calibri" w:hAnsi="Calibri" w:eastAsia="Calibri"/>
          <w:sz w:val="28"/>
          <w:szCs w:val="28"/>
          <w:shd w:val="clear" w:color="auto" w:fill="ffffff"/>
        </w:rPr>
      </w:pPr>
      <w:r>
        <w:rPr>
          <w:rFonts w:ascii="Calibri" w:cs="Calibri" w:hAnsi="Calibri" w:eastAsia="Calibri"/>
          <w:sz w:val="28"/>
          <w:szCs w:val="28"/>
          <w:shd w:val="clear" w:color="auto" w:fill="ffffff"/>
          <w:rtl w:val="0"/>
        </w:rPr>
        <w:tab/>
        <w:t>I think Trinity is a pretty low-conflict congregation. We love each other well. We also have a number of shared commitments that enable us to move together in the way in which we</w:t>
      </w:r>
      <w:r>
        <w:rPr>
          <w:rFonts w:ascii="Calibri" w:hAnsi="Calibri" w:hint="default"/>
          <w:sz w:val="28"/>
          <w:szCs w:val="28"/>
          <w:shd w:val="clear" w:color="auto" w:fill="ffffff"/>
          <w:rtl w:val="0"/>
          <w:lang w:val="en-US"/>
        </w:rPr>
        <w:t>’</w:t>
      </w:r>
      <w:r>
        <w:rPr>
          <w:rFonts w:ascii="Calibri" w:hAnsi="Calibri"/>
          <w:sz w:val="28"/>
          <w:szCs w:val="28"/>
          <w:shd w:val="clear" w:color="auto" w:fill="ffffff"/>
          <w:rtl w:val="0"/>
          <w:lang w:val="en-US"/>
        </w:rPr>
        <w:t>ve discerned God</w:t>
      </w:r>
      <w:r>
        <w:rPr>
          <w:rFonts w:ascii="Calibri" w:hAnsi="Calibri" w:hint="default"/>
          <w:sz w:val="28"/>
          <w:szCs w:val="28"/>
          <w:shd w:val="clear" w:color="auto" w:fill="ffffff"/>
          <w:rtl w:val="0"/>
          <w:lang w:val="en-US"/>
        </w:rPr>
        <w:t>’</w:t>
      </w:r>
      <w:r>
        <w:rPr>
          <w:rFonts w:ascii="Calibri" w:hAnsi="Calibri"/>
          <w:sz w:val="28"/>
          <w:szCs w:val="28"/>
          <w:shd w:val="clear" w:color="auto" w:fill="ffffff"/>
          <w:rtl w:val="0"/>
          <w:lang w:val="en-US"/>
        </w:rPr>
        <w:t>s call. At the same time, we</w:t>
      </w:r>
      <w:r>
        <w:rPr>
          <w:rFonts w:ascii="Calibri" w:hAnsi="Calibri" w:hint="default"/>
          <w:sz w:val="28"/>
          <w:szCs w:val="28"/>
          <w:shd w:val="clear" w:color="auto" w:fill="ffffff"/>
          <w:rtl w:val="0"/>
          <w:lang w:val="en-US"/>
        </w:rPr>
        <w:t>’</w:t>
      </w:r>
      <w:r>
        <w:rPr>
          <w:rFonts w:ascii="Calibri" w:hAnsi="Calibri"/>
          <w:sz w:val="28"/>
          <w:szCs w:val="28"/>
          <w:shd w:val="clear" w:color="auto" w:fill="ffffff"/>
          <w:rtl w:val="0"/>
          <w:lang w:val="en-US"/>
        </w:rPr>
        <w:t>re in a pretty profound time of transition and transformation in the church. We</w:t>
      </w:r>
      <w:r>
        <w:rPr>
          <w:rFonts w:ascii="Calibri" w:hAnsi="Calibri" w:hint="default"/>
          <w:sz w:val="28"/>
          <w:szCs w:val="28"/>
          <w:shd w:val="clear" w:color="auto" w:fill="ffffff"/>
          <w:rtl w:val="0"/>
          <w:lang w:val="en-US"/>
        </w:rPr>
        <w:t>’</w:t>
      </w:r>
      <w:r>
        <w:rPr>
          <w:rFonts w:ascii="Calibri" w:hAnsi="Calibri"/>
          <w:sz w:val="28"/>
          <w:szCs w:val="28"/>
          <w:shd w:val="clear" w:color="auto" w:fill="ffffff"/>
          <w:rtl w:val="0"/>
          <w:lang w:val="en-US"/>
        </w:rPr>
        <w:t>ve said goodbye to nearly every founding member, our founding pastor, and many members who had been here nearly since the beginning. The world around is changing. We are changing. Change is natural, and it can be a source of deep grief. We are facing a time of noticeable existential uncertainty. That</w:t>
      </w:r>
      <w:r>
        <w:rPr>
          <w:rFonts w:ascii="Calibri" w:hAnsi="Calibri" w:hint="default"/>
          <w:sz w:val="28"/>
          <w:szCs w:val="28"/>
          <w:shd w:val="clear" w:color="auto" w:fill="ffffff"/>
          <w:rtl w:val="0"/>
          <w:lang w:val="en-US"/>
        </w:rPr>
        <w:t>’</w:t>
      </w:r>
      <w:r>
        <w:rPr>
          <w:rFonts w:ascii="Calibri" w:hAnsi="Calibri"/>
          <w:sz w:val="28"/>
          <w:szCs w:val="28"/>
          <w:shd w:val="clear" w:color="auto" w:fill="ffffff"/>
          <w:rtl w:val="0"/>
          <w:lang w:val="en-US"/>
        </w:rPr>
        <w:t>s not to say we</w:t>
      </w:r>
      <w:r>
        <w:rPr>
          <w:rFonts w:ascii="Calibri" w:hAnsi="Calibri" w:hint="default"/>
          <w:sz w:val="28"/>
          <w:szCs w:val="28"/>
          <w:shd w:val="clear" w:color="auto" w:fill="ffffff"/>
          <w:rtl w:val="0"/>
          <w:lang w:val="en-US"/>
        </w:rPr>
        <w:t>’</w:t>
      </w:r>
      <w:r>
        <w:rPr>
          <w:rFonts w:ascii="Calibri" w:hAnsi="Calibri"/>
          <w:sz w:val="28"/>
          <w:szCs w:val="28"/>
          <w:shd w:val="clear" w:color="auto" w:fill="ffffff"/>
          <w:rtl w:val="0"/>
          <w:lang w:val="en-US"/>
        </w:rPr>
        <w:t>re in an existentially precarious position, because we</w:t>
      </w:r>
      <w:r>
        <w:rPr>
          <w:rFonts w:ascii="Calibri" w:hAnsi="Calibri" w:hint="default"/>
          <w:sz w:val="28"/>
          <w:szCs w:val="28"/>
          <w:shd w:val="clear" w:color="auto" w:fill="ffffff"/>
          <w:rtl w:val="0"/>
          <w:lang w:val="en-US"/>
        </w:rPr>
        <w:t>’</w:t>
      </w:r>
      <w:r>
        <w:rPr>
          <w:rFonts w:ascii="Calibri" w:hAnsi="Calibri"/>
          <w:sz w:val="28"/>
          <w:szCs w:val="28"/>
          <w:shd w:val="clear" w:color="auto" w:fill="ffffff"/>
          <w:rtl w:val="0"/>
          <w:lang w:val="en-US"/>
        </w:rPr>
        <w:t>re not. But we</w:t>
      </w:r>
      <w:r>
        <w:rPr>
          <w:rFonts w:ascii="Calibri" w:hAnsi="Calibri" w:hint="default"/>
          <w:sz w:val="28"/>
          <w:szCs w:val="28"/>
          <w:shd w:val="clear" w:color="auto" w:fill="ffffff"/>
          <w:rtl w:val="0"/>
          <w:lang w:val="en-US"/>
        </w:rPr>
        <w:t>’</w:t>
      </w:r>
      <w:r>
        <w:rPr>
          <w:rFonts w:ascii="Calibri" w:hAnsi="Calibri"/>
          <w:sz w:val="28"/>
          <w:szCs w:val="28"/>
          <w:shd w:val="clear" w:color="auto" w:fill="ffffff"/>
          <w:rtl w:val="0"/>
          <w:lang w:val="en-US"/>
        </w:rPr>
        <w:t xml:space="preserve">re no longer who we were. </w:t>
      </w:r>
    </w:p>
    <w:p>
      <w:pPr>
        <w:pStyle w:val="Default"/>
        <w:suppressAutoHyphens w:val="1"/>
        <w:spacing w:before="0" w:line="480" w:lineRule="auto"/>
        <w:rPr>
          <w:rFonts w:ascii="Calibri" w:cs="Calibri" w:hAnsi="Calibri" w:eastAsia="Calibri"/>
          <w:sz w:val="28"/>
          <w:szCs w:val="28"/>
          <w:shd w:val="clear" w:color="auto" w:fill="ffffff"/>
        </w:rPr>
      </w:pPr>
      <w:r>
        <w:rPr>
          <w:rFonts w:ascii="Calibri" w:cs="Calibri" w:hAnsi="Calibri" w:eastAsia="Calibri"/>
          <w:sz w:val="28"/>
          <w:szCs w:val="28"/>
          <w:shd w:val="clear" w:color="auto" w:fill="ffffff"/>
          <w:rtl w:val="0"/>
        </w:rPr>
        <w:tab/>
        <w:t xml:space="preserve">The last statement in our founding affirmation reads: [we believe] </w:t>
      </w:r>
      <w:r>
        <w:rPr>
          <w:rFonts w:ascii="Calibri" w:hAnsi="Calibri"/>
          <w:sz w:val="28"/>
          <w:szCs w:val="28"/>
          <w:shd w:val="clear" w:color="auto" w:fill="ffffff"/>
          <w:rtl w:val="0"/>
          <w:lang w:val="en-US"/>
        </w:rPr>
        <w:t>that the Holy Spirit offers us freedom from new molds of our own makin</w:t>
      </w:r>
      <w:r>
        <w:rPr>
          <w:rFonts w:ascii="Calibri" w:hAnsi="Calibri"/>
          <w:sz w:val="28"/>
          <w:szCs w:val="28"/>
          <w:shd w:val="clear" w:color="auto" w:fill="ffffff"/>
          <w:rtl w:val="0"/>
          <w:lang w:val="en-US"/>
        </w:rPr>
        <w:t xml:space="preserve">g; </w:t>
      </w:r>
      <w:r>
        <w:rPr>
          <w:rFonts w:ascii="Calibri" w:hAnsi="Calibri"/>
          <w:sz w:val="28"/>
          <w:szCs w:val="28"/>
          <w:shd w:val="clear" w:color="auto" w:fill="ffffff"/>
          <w:rtl w:val="0"/>
          <w:lang w:val="en-US"/>
        </w:rPr>
        <w:t xml:space="preserve">therefore, we rejoice in the </w:t>
      </w:r>
      <w:r>
        <w:rPr>
          <w:rFonts w:ascii="Calibri" w:hAnsi="Calibri" w:hint="default"/>
          <w:sz w:val="28"/>
          <w:szCs w:val="28"/>
          <w:shd w:val="clear" w:color="auto" w:fill="ffffff"/>
          <w:rtl w:val="1"/>
          <w:lang w:val="ar-SA" w:bidi="ar-SA"/>
        </w:rPr>
        <w:t>“</w:t>
      </w:r>
      <w:r>
        <w:rPr>
          <w:rFonts w:ascii="Calibri" w:hAnsi="Calibri"/>
          <w:sz w:val="28"/>
          <w:szCs w:val="28"/>
          <w:shd w:val="clear" w:color="auto" w:fill="ffffff"/>
          <w:rtl w:val="0"/>
          <w:lang w:val="en-US"/>
        </w:rPr>
        <w:t>worldly insecurity</w:t>
      </w:r>
      <w:r>
        <w:rPr>
          <w:rFonts w:ascii="Calibri" w:hAnsi="Calibri" w:hint="default"/>
          <w:sz w:val="28"/>
          <w:szCs w:val="28"/>
          <w:shd w:val="clear" w:color="auto" w:fill="ffffff"/>
          <w:rtl w:val="0"/>
        </w:rPr>
        <w:t xml:space="preserve">” </w:t>
      </w:r>
      <w:r>
        <w:rPr>
          <w:rFonts w:ascii="Calibri" w:hAnsi="Calibri"/>
          <w:sz w:val="28"/>
          <w:szCs w:val="28"/>
          <w:shd w:val="clear" w:color="auto" w:fill="ffffff"/>
          <w:rtl w:val="0"/>
          <w:lang w:val="en-US"/>
        </w:rPr>
        <w:t>that will enable us to continue in an open-ended search for the will of God, wondering and eagerly listening for what God will say to our church tomorrow.</w:t>
      </w:r>
      <w:r>
        <w:rPr>
          <w:rFonts w:ascii="Calibri" w:hAnsi="Calibri" w:hint="default"/>
          <w:sz w:val="28"/>
          <w:szCs w:val="28"/>
          <w:shd w:val="clear" w:color="auto" w:fill="ffffff"/>
          <w:rtl w:val="0"/>
          <w:lang w:val="en-US"/>
        </w:rPr>
        <w:t>”</w:t>
      </w:r>
      <w:r>
        <w:rPr>
          <w:rFonts w:ascii="Calibri" w:cs="Calibri" w:hAnsi="Calibri" w:eastAsia="Calibri"/>
          <w:sz w:val="28"/>
          <w:szCs w:val="28"/>
          <w:shd w:val="clear" w:color="auto" w:fill="ffffff"/>
          <w:vertAlign w:val="superscript"/>
        </w:rPr>
        <w:footnoteReference w:id="4"/>
      </w:r>
      <w:r>
        <w:rPr>
          <w:rFonts w:ascii="Calibri" w:hAnsi="Calibri"/>
          <w:sz w:val="28"/>
          <w:szCs w:val="28"/>
          <w:shd w:val="clear" w:color="auto" w:fill="ffffff"/>
          <w:rtl w:val="0"/>
          <w:lang w:val="en-US"/>
        </w:rPr>
        <w:t xml:space="preserve"> How do we know if something is a critical part of our congregational DNA, or a mold of our own making? I was recently in a conversation with colleagues around narrative budgets. One colleague said her church</w:t>
      </w:r>
      <w:r>
        <w:rPr>
          <w:rFonts w:ascii="Calibri" w:hAnsi="Calibri" w:hint="default"/>
          <w:sz w:val="28"/>
          <w:szCs w:val="28"/>
          <w:shd w:val="clear" w:color="auto" w:fill="ffffff"/>
          <w:rtl w:val="0"/>
          <w:lang w:val="en-US"/>
        </w:rPr>
        <w:t>’</w:t>
      </w:r>
      <w:r>
        <w:rPr>
          <w:rFonts w:ascii="Calibri" w:hAnsi="Calibri"/>
          <w:sz w:val="28"/>
          <w:szCs w:val="28"/>
          <w:shd w:val="clear" w:color="auto" w:fill="ffffff"/>
          <w:rtl w:val="0"/>
          <w:lang w:val="en-US"/>
        </w:rPr>
        <w:t xml:space="preserve">s narrative budget is divided into four categories: Worship, Spiritual Formation, Care, and Mission/Outreach. Are those not the four marks by different names, and without calling them the </w:t>
      </w:r>
      <w:r>
        <w:rPr>
          <w:rFonts w:ascii="Calibri" w:hAnsi="Calibri" w:hint="default"/>
          <w:sz w:val="28"/>
          <w:szCs w:val="28"/>
          <w:shd w:val="clear" w:color="auto" w:fill="ffffff"/>
          <w:rtl w:val="0"/>
          <w:lang w:val="en-US"/>
        </w:rPr>
        <w:t>“</w:t>
      </w:r>
      <w:r>
        <w:rPr>
          <w:rFonts w:ascii="Calibri" w:hAnsi="Calibri"/>
          <w:sz w:val="28"/>
          <w:szCs w:val="28"/>
          <w:shd w:val="clear" w:color="auto" w:fill="ffffff"/>
          <w:rtl w:val="0"/>
          <w:lang w:val="en-US"/>
        </w:rPr>
        <w:t>four marks</w:t>
      </w:r>
      <w:r>
        <w:rPr>
          <w:rFonts w:ascii="Calibri" w:hAnsi="Calibri" w:hint="default"/>
          <w:sz w:val="28"/>
          <w:szCs w:val="28"/>
          <w:shd w:val="clear" w:color="auto" w:fill="ffffff"/>
          <w:rtl w:val="0"/>
          <w:lang w:val="en-US"/>
        </w:rPr>
        <w:t>”</w:t>
      </w:r>
      <w:r>
        <w:rPr>
          <w:rFonts w:ascii="Calibri" w:hAnsi="Calibri"/>
          <w:sz w:val="28"/>
          <w:szCs w:val="28"/>
          <w:shd w:val="clear" w:color="auto" w:fill="ffffff"/>
          <w:rtl w:val="0"/>
          <w:lang w:val="en-US"/>
        </w:rPr>
        <w:t>? They</w:t>
      </w:r>
      <w:r>
        <w:rPr>
          <w:rFonts w:ascii="Calibri" w:hAnsi="Calibri" w:hint="default"/>
          <w:sz w:val="28"/>
          <w:szCs w:val="28"/>
          <w:shd w:val="clear" w:color="auto" w:fill="ffffff"/>
          <w:rtl w:val="0"/>
          <w:lang w:val="en-US"/>
        </w:rPr>
        <w:t>’</w:t>
      </w:r>
      <w:r>
        <w:rPr>
          <w:rFonts w:ascii="Calibri" w:hAnsi="Calibri"/>
          <w:sz w:val="28"/>
          <w:szCs w:val="28"/>
          <w:shd w:val="clear" w:color="auto" w:fill="ffffff"/>
          <w:rtl w:val="0"/>
          <w:lang w:val="en-US"/>
        </w:rPr>
        <w:t>re the same categories of ministry, but in terms that might be less churchy, and easier for people who are new to Trinity or new to church altogether to understand.</w:t>
      </w:r>
    </w:p>
    <w:p>
      <w:pPr>
        <w:pStyle w:val="Default"/>
        <w:suppressAutoHyphens w:val="1"/>
        <w:spacing w:before="0" w:line="480" w:lineRule="auto"/>
      </w:pPr>
      <w:r>
        <w:rPr>
          <w:rFonts w:ascii="Calibri" w:cs="Calibri" w:hAnsi="Calibri" w:eastAsia="Calibri"/>
          <w:sz w:val="28"/>
          <w:szCs w:val="28"/>
          <w:shd w:val="clear" w:color="auto" w:fill="ffffff"/>
          <w:rtl w:val="0"/>
        </w:rPr>
        <w:tab/>
        <w:t>We</w:t>
      </w:r>
      <w:r>
        <w:rPr>
          <w:rFonts w:ascii="Calibri" w:hAnsi="Calibri" w:hint="default"/>
          <w:sz w:val="28"/>
          <w:szCs w:val="28"/>
          <w:shd w:val="clear" w:color="auto" w:fill="ffffff"/>
          <w:rtl w:val="0"/>
          <w:lang w:val="en-US"/>
        </w:rPr>
        <w:t>’</w:t>
      </w:r>
      <w:r>
        <w:rPr>
          <w:rFonts w:ascii="Calibri" w:hAnsi="Calibri"/>
          <w:sz w:val="28"/>
          <w:szCs w:val="28"/>
          <w:shd w:val="clear" w:color="auto" w:fill="ffffff"/>
          <w:rtl w:val="0"/>
          <w:lang w:val="en-US"/>
        </w:rPr>
        <w:t>re not the same church we were 64 years ago, 40 years ago, 20 years ago, or even 7 years ago, but we are facing a major generational shift in the life of the church - maybe the biggest shift we</w:t>
      </w:r>
      <w:r>
        <w:rPr>
          <w:rFonts w:ascii="Calibri" w:hAnsi="Calibri" w:hint="default"/>
          <w:sz w:val="28"/>
          <w:szCs w:val="28"/>
          <w:shd w:val="clear" w:color="auto" w:fill="ffffff"/>
          <w:rtl w:val="0"/>
          <w:lang w:val="en-US"/>
        </w:rPr>
        <w:t>’</w:t>
      </w:r>
      <w:r>
        <w:rPr>
          <w:rFonts w:ascii="Calibri" w:hAnsi="Calibri"/>
          <w:sz w:val="28"/>
          <w:szCs w:val="28"/>
          <w:shd w:val="clear" w:color="auto" w:fill="ffffff"/>
          <w:rtl w:val="0"/>
          <w:lang w:val="en-US"/>
        </w:rPr>
        <w:t>ve faced since our founding. Even small changes can enliven grief and anxiety. When it comes to big changes or decisions? Even more so. The question of what to do with the church grounds isn</w:t>
      </w:r>
      <w:r>
        <w:rPr>
          <w:rFonts w:ascii="Calibri" w:hAnsi="Calibri" w:hint="default"/>
          <w:sz w:val="28"/>
          <w:szCs w:val="28"/>
          <w:shd w:val="clear" w:color="auto" w:fill="ffffff"/>
          <w:rtl w:val="0"/>
          <w:lang w:val="en-US"/>
        </w:rPr>
        <w:t>’</w:t>
      </w:r>
      <w:r>
        <w:rPr>
          <w:rFonts w:ascii="Calibri" w:hAnsi="Calibri"/>
          <w:sz w:val="28"/>
          <w:szCs w:val="28"/>
          <w:shd w:val="clear" w:color="auto" w:fill="ffffff"/>
          <w:rtl w:val="0"/>
          <w:lang w:val="en-US"/>
        </w:rPr>
        <w:t>t just about landscaping. It</w:t>
      </w:r>
      <w:r>
        <w:rPr>
          <w:rFonts w:ascii="Calibri" w:hAnsi="Calibri" w:hint="default"/>
          <w:sz w:val="28"/>
          <w:szCs w:val="28"/>
          <w:shd w:val="clear" w:color="auto" w:fill="ffffff"/>
          <w:rtl w:val="0"/>
          <w:lang w:val="en-US"/>
        </w:rPr>
        <w:t>’</w:t>
      </w:r>
      <w:r>
        <w:rPr>
          <w:rFonts w:ascii="Calibri" w:hAnsi="Calibri"/>
          <w:sz w:val="28"/>
          <w:szCs w:val="28"/>
          <w:shd w:val="clear" w:color="auto" w:fill="ffffff"/>
          <w:rtl w:val="0"/>
          <w:lang w:val="en-US"/>
        </w:rPr>
        <w:t xml:space="preserve">s about who we are, and who God is calling us to be. So with these discussions and others, we can either learn how to move through these existential conflicts skillfully and in love and humility, or we can go our separate ways. Acts 15 gives us both doors. Which one do we want to take? </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footnotes.xml><?xml version="1.0" encoding="utf-8"?>
<w:footnotes xmlns:w="http://schemas.openxmlformats.org/wordprocessingml/2006/main" xmlns:r="http://schemas.openxmlformats.org/officeDocument/2006/relationships" xmlns:w14="http://schemas.microsoft.com/office/word/2010/wordml" xmlns:wp="http://schemas.openxmlformats.org/drawingml/2006/wordprocessingDrawing" xmlns:m="http://schemas.openxmlformats.org/officeDocument/2006/math">
  <w:footnote w:type="separator" w:id="-1">
    <w:p>
      <w:r>
        <w:separator/>
      </w:r>
    </w:p>
  </w:footnote>
  <w:footnote w:type="continuationSeparator" w:id="0">
    <w:p>
      <w:r>
        <w:continuationSeparator/>
      </w:r>
    </w:p>
  </w:footnote>
  <w:footnote w:type="continuationNotice" w:id="-2">
    <w:p>
      <w:r>
        <w:t/>
      </w:r>
    </w:p>
  </w:footnote>
  <w:footnote w:id="1">
    <w:p>
      <w:pPr>
        <w:pStyle w:val="Footnote"/>
        <w:bidi w:val="0"/>
      </w:pPr>
      <w:r>
        <w:rPr>
          <w:vertAlign w:val="superscript"/>
        </w:rPr>
        <w:footnoteRef/>
      </w:r>
      <w:r>
        <w:rPr>
          <w:rFonts w:cs="Arial Unicode MS" w:eastAsia="Arial Unicode MS"/>
          <w:rtl w:val="0"/>
          <w:lang w:val="en-US"/>
        </w:rPr>
        <w:t xml:space="preserve"> https://www.nytimes.com/2026/08/22/magazine/priya-parker-interview.html</w:t>
      </w:r>
    </w:p>
  </w:footnote>
  <w:footnote w:id="2">
    <w:p>
      <w:pPr>
        <w:pStyle w:val="Footnote"/>
        <w:bidi w:val="0"/>
      </w:pPr>
      <w:r>
        <w:rPr>
          <w:vertAlign w:val="superscript"/>
        </w:rPr>
        <w:footnoteRef/>
      </w:r>
      <w:r>
        <w:rPr>
          <w:rFonts w:cs="Arial Unicode MS" w:eastAsia="Arial Unicode MS"/>
          <w:rtl w:val="0"/>
        </w:rPr>
        <w:t xml:space="preserve"> </w:t>
      </w:r>
      <w:r>
        <w:rPr>
          <w:rFonts w:cs="Arial Unicode MS" w:eastAsia="Arial Unicode MS"/>
          <w:rtl w:val="0"/>
          <w:lang w:val="en-US"/>
        </w:rPr>
        <w:t>Ibid</w:t>
      </w:r>
    </w:p>
  </w:footnote>
  <w:footnote w:id="3">
    <w:p>
      <w:pPr>
        <w:pStyle w:val="Footnote"/>
        <w:bidi w:val="0"/>
      </w:pPr>
      <w:r>
        <w:rPr>
          <w:vertAlign w:val="superscript"/>
        </w:rPr>
        <w:footnoteRef/>
      </w:r>
      <w:r>
        <w:rPr>
          <w:rFonts w:cs="Arial Unicode MS" w:eastAsia="Arial Unicode MS"/>
          <w:rtl w:val="0"/>
        </w:rPr>
        <w:t xml:space="preserve"> </w:t>
      </w:r>
      <w:r>
        <w:rPr>
          <w:rFonts w:cs="Arial Unicode MS" w:eastAsia="Arial Unicode MS"/>
          <w:rtl w:val="0"/>
          <w:lang w:val="en-US"/>
        </w:rPr>
        <w:t>Ibid</w:t>
      </w:r>
    </w:p>
  </w:footnote>
  <w:footnote w:id="4">
    <w:p>
      <w:pPr>
        <w:pStyle w:val="Footnote"/>
        <w:bidi w:val="0"/>
      </w:pPr>
      <w:r>
        <w:rPr>
          <w:vertAlign w:val="superscript"/>
        </w:rPr>
        <w:footnoteRef/>
      </w:r>
      <w:r>
        <w:rPr>
          <w:rFonts w:cs="Arial Unicode MS" w:eastAsia="Arial Unicode MS"/>
          <w:rtl w:val="0"/>
          <w:lang w:val="en-US"/>
        </w:rPr>
        <w:t xml:space="preserve"> https://www.trinitypresbyterianharrisonburg.org/what-is-god-saying-to-trinity</w:t>
      </w:r>
    </w:p>
  </w:footnote>
</w:footnotes>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60"/>
        <w:tab w:val="clear" w:pos="9020"/>
      </w:tabs>
      <w:jc w:val="left"/>
    </w:pPr>
    <w:r>
      <w:tab/>
      <w:tab/>
    </w:r>
    <w:r>
      <w:rPr>
        <w:rtl w:val="0"/>
        <w:lang w:val="en-US"/>
      </w:rPr>
      <w:t xml:space="preserve">Page </w:t>
    </w:r>
    <w:r>
      <w:rPr/>
      <w:fldChar w:fldCharType="begin" w:fldLock="0"/>
    </w:r>
    <w:r>
      <w:instrText xml:space="preserve"> PAGE </w:instrText>
    </w:r>
    <w:r>
      <w:rPr/>
      <w:fldChar w:fldCharType="separate" w:fldLock="0"/>
    </w:r>
    <w:r/>
    <w:r>
      <w:rPr/>
      <w:fldChar w:fldCharType="end" w:fldLock="0"/>
    </w:r>
    <w:r>
      <w:rPr>
        <w:rtl w:val="0"/>
        <w:lang w:val="en-US"/>
      </w:rPr>
      <w:t xml:space="preserve"> of </w:t>
    </w:r>
    <w:r>
      <w:rPr/>
      <w:fldChar w:fldCharType="begin" w:fldLock="0"/>
    </w:r>
    <w:r>
      <w:instrText xml:space="preserve"> NUMPAGES </w:instrText>
    </w:r>
    <w:r>
      <w:rPr/>
      <w:fldChar w:fldCharType="separate" w:fldLock="0"/>
    </w:r>
    <w:r/>
    <w:r>
      <w:rPr/>
      <w:fldChar w:fldCharType="end" w:fldLock="0"/>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footnotePr>
    <w:numFmt w:val="decimal"/>
    <w:numStart w:val="1"/>
    <w:numRestart w:val="continuous"/>
    <w:footnote w:id="-1"/>
    <w:footnote w:id="0"/>
    <w:footnote w:id="-2"/>
  </w:footnotePr>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hint="default"/>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paragraph" w:styleId="Footnote">
    <w:name w:val="Footnote"/>
    <w:next w:val="Footnote"/>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footnotes" Target="footnotes.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