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480" w:lineRule="auto"/>
        <w:jc w:val="center"/>
        <w:rPr>
          <w:rFonts w:ascii="Times New Roman" w:cs="Times New Roman" w:hAnsi="Times New Roman" w:eastAsia="Times New Roman"/>
          <w:sz w:val="28"/>
          <w:szCs w:val="28"/>
        </w:rPr>
      </w:pPr>
      <w:r>
        <w:rPr>
          <w:rFonts w:ascii="Times New Roman" w:hAnsi="Times New Roman"/>
          <w:sz w:val="28"/>
          <w:szCs w:val="28"/>
          <w:rtl w:val="0"/>
          <w:lang w:val="en-US"/>
        </w:rPr>
        <w:t>Don</w:t>
      </w:r>
      <w:r>
        <w:rPr>
          <w:rFonts w:ascii="Times New Roman" w:hAnsi="Times New Roman" w:hint="default"/>
          <w:sz w:val="28"/>
          <w:szCs w:val="28"/>
          <w:rtl w:val="0"/>
          <w:lang w:val="en-US"/>
        </w:rPr>
        <w:t>’</w:t>
      </w:r>
      <w:r>
        <w:rPr>
          <w:rFonts w:ascii="Times New Roman" w:hAnsi="Times New Roman"/>
          <w:sz w:val="28"/>
          <w:szCs w:val="28"/>
          <w:rtl w:val="0"/>
          <w:lang w:val="en-US"/>
        </w:rPr>
        <w:t>t Forget the Daughters - Stephanie Sorge, 6.21.26</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By a show of hands, who is already familiar with the story of the Daughters of Zelophehad? I</w:t>
      </w:r>
      <w:r>
        <w:rPr>
          <w:rFonts w:ascii="Times New Roman" w:hAnsi="Times New Roman" w:hint="default"/>
          <w:sz w:val="28"/>
          <w:szCs w:val="28"/>
          <w:rtl w:val="0"/>
          <w:lang w:val="en-US"/>
        </w:rPr>
        <w:t>’</w:t>
      </w:r>
      <w:r>
        <w:rPr>
          <w:rFonts w:ascii="Times New Roman" w:hAnsi="Times New Roman"/>
          <w:sz w:val="28"/>
          <w:szCs w:val="28"/>
          <w:rtl w:val="0"/>
          <w:lang w:val="en-US"/>
        </w:rPr>
        <w:t>ll be honest; I couldn</w:t>
      </w:r>
      <w:r>
        <w:rPr>
          <w:rFonts w:ascii="Times New Roman" w:hAnsi="Times New Roman" w:hint="default"/>
          <w:sz w:val="28"/>
          <w:szCs w:val="28"/>
          <w:rtl w:val="0"/>
          <w:lang w:val="en-US"/>
        </w:rPr>
        <w:t>’</w:t>
      </w:r>
      <w:r>
        <w:rPr>
          <w:rFonts w:ascii="Times New Roman" w:hAnsi="Times New Roman"/>
          <w:sz w:val="28"/>
          <w:szCs w:val="28"/>
          <w:rtl w:val="0"/>
          <w:lang w:val="en-US"/>
        </w:rPr>
        <w:t>t have told you much about them a year ago, but in the past 6 months, their story has come up twice in different contexts - both times in gatherings with other clergy. Both focused on the narrative in Numbers 27 - which is the prescribed reading from our summer series. Only in the second context, a mini-course on Women, Violence, and Power in Biblical Texts, was the rest of the story even mentioned. We</w:t>
      </w:r>
      <w:r>
        <w:rPr>
          <w:rFonts w:ascii="Times New Roman" w:hAnsi="Times New Roman" w:hint="default"/>
          <w:sz w:val="28"/>
          <w:szCs w:val="28"/>
          <w:rtl w:val="0"/>
          <w:lang w:val="en-US"/>
        </w:rPr>
        <w:t>’</w:t>
      </w:r>
      <w:r>
        <w:rPr>
          <w:rFonts w:ascii="Times New Roman" w:hAnsi="Times New Roman"/>
          <w:sz w:val="28"/>
          <w:szCs w:val="28"/>
          <w:rtl w:val="0"/>
          <w:lang w:val="en-US"/>
        </w:rPr>
        <w:t>ll get there.</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For today</w:t>
      </w:r>
      <w:r>
        <w:rPr>
          <w:rFonts w:ascii="Times New Roman" w:hAnsi="Times New Roman" w:hint="default"/>
          <w:sz w:val="28"/>
          <w:szCs w:val="28"/>
          <w:rtl w:val="0"/>
          <w:lang w:val="en-US"/>
        </w:rPr>
        <w:t>’</w:t>
      </w:r>
      <w:r>
        <w:rPr>
          <w:rFonts w:ascii="Times New Roman" w:hAnsi="Times New Roman"/>
          <w:sz w:val="28"/>
          <w:szCs w:val="28"/>
          <w:rtl w:val="0"/>
          <w:lang w:val="en-US"/>
        </w:rPr>
        <w:t>s sermon, I</w:t>
      </w:r>
      <w:r>
        <w:rPr>
          <w:rFonts w:ascii="Times New Roman" w:hAnsi="Times New Roman" w:hint="default"/>
          <w:sz w:val="28"/>
          <w:szCs w:val="28"/>
          <w:rtl w:val="0"/>
          <w:lang w:val="en-US"/>
        </w:rPr>
        <w:t>’</w:t>
      </w:r>
      <w:r>
        <w:rPr>
          <w:rFonts w:ascii="Times New Roman" w:hAnsi="Times New Roman"/>
          <w:sz w:val="28"/>
          <w:szCs w:val="28"/>
          <w:rtl w:val="0"/>
          <w:lang w:val="en-US"/>
        </w:rPr>
        <w:t xml:space="preserve">m deeply indebted to the work of the Rev. Dr. Wil Gafney, Hulsey Professor of Hebrew Bible at Brite Divinity School. She is a preeminent womanist theologian and prophetic voice. The term </w:t>
      </w:r>
      <w:r>
        <w:rPr>
          <w:rFonts w:ascii="Times New Roman" w:hAnsi="Times New Roman" w:hint="default"/>
          <w:sz w:val="28"/>
          <w:szCs w:val="28"/>
          <w:rtl w:val="0"/>
          <w:lang w:val="en-US"/>
        </w:rPr>
        <w:t>“</w:t>
      </w:r>
      <w:r>
        <w:rPr>
          <w:rFonts w:ascii="Times New Roman" w:hAnsi="Times New Roman"/>
          <w:sz w:val="28"/>
          <w:szCs w:val="28"/>
          <w:rtl w:val="0"/>
          <w:lang w:val="en-US"/>
        </w:rPr>
        <w:t>womanism</w:t>
      </w:r>
      <w:r>
        <w:rPr>
          <w:rFonts w:ascii="Times New Roman" w:hAnsi="Times New Roman" w:hint="default"/>
          <w:sz w:val="28"/>
          <w:szCs w:val="28"/>
          <w:rtl w:val="0"/>
          <w:lang w:val="en-US"/>
        </w:rPr>
        <w:t xml:space="preserve">” </w:t>
      </w:r>
      <w:r>
        <w:rPr>
          <w:rFonts w:ascii="Times New Roman" w:hAnsi="Times New Roman"/>
          <w:sz w:val="28"/>
          <w:szCs w:val="28"/>
          <w:rtl w:val="0"/>
          <w:lang w:val="en-US"/>
        </w:rPr>
        <w:t>may be new to many. It was coined in 1983 by Black poet and novelist Alice Walker, in her collection,</w:t>
      </w:r>
      <w:r>
        <w:rPr>
          <w:rFonts w:ascii="Times New Roman" w:hAnsi="Times New Roman" w:hint="default"/>
          <w:sz w:val="28"/>
          <w:szCs w:val="28"/>
          <w:rtl w:val="0"/>
        </w:rPr>
        <w:t> </w:t>
      </w:r>
      <w:r>
        <w:rPr>
          <w:rFonts w:ascii="Times New Roman" w:hAnsi="Times New Roman"/>
          <w:i w:val="1"/>
          <w:iCs w:val="1"/>
          <w:sz w:val="28"/>
          <w:szCs w:val="28"/>
          <w:rtl w:val="0"/>
          <w:lang w:val="en-US"/>
        </w:rPr>
        <w:t>In Search of Our Mothers</w:t>
      </w:r>
      <w:r>
        <w:rPr>
          <w:rFonts w:ascii="Times New Roman" w:hAnsi="Times New Roman" w:hint="default"/>
          <w:i w:val="1"/>
          <w:iCs w:val="1"/>
          <w:sz w:val="28"/>
          <w:szCs w:val="28"/>
          <w:rtl w:val="1"/>
        </w:rPr>
        <w:t xml:space="preserve">’ </w:t>
      </w:r>
      <w:r>
        <w:rPr>
          <w:rFonts w:ascii="Times New Roman" w:hAnsi="Times New Roman"/>
          <w:i w:val="1"/>
          <w:iCs w:val="1"/>
          <w:sz w:val="28"/>
          <w:szCs w:val="28"/>
          <w:rtl w:val="0"/>
        </w:rPr>
        <w:t>Gardens</w:t>
      </w:r>
      <w:r>
        <w:rPr>
          <w:rFonts w:ascii="Times New Roman" w:hAnsi="Times New Roman"/>
          <w:i w:val="1"/>
          <w:iCs w:val="1"/>
          <w:sz w:val="28"/>
          <w:szCs w:val="28"/>
          <w:rtl w:val="0"/>
          <w:lang w:val="en-US"/>
        </w:rPr>
        <w:t>.</w:t>
      </w:r>
      <w:r>
        <w:rPr>
          <w:rFonts w:ascii="Times New Roman" w:hAnsi="Times New Roman"/>
          <w:sz w:val="28"/>
          <w:szCs w:val="28"/>
          <w:rtl w:val="0"/>
          <w:lang w:val="en-US"/>
        </w:rPr>
        <w:t xml:space="preserve"> She begins by explaining that a womanist is </w:t>
      </w:r>
      <w:r>
        <w:rPr>
          <w:rFonts w:ascii="Times New Roman" w:hAnsi="Times New Roman" w:hint="default"/>
          <w:sz w:val="28"/>
          <w:szCs w:val="28"/>
          <w:rtl w:val="1"/>
          <w:lang w:val="ar-SA" w:bidi="ar-SA"/>
        </w:rPr>
        <w:t>“</w:t>
      </w:r>
      <w:r>
        <w:rPr>
          <w:rFonts w:ascii="Times New Roman" w:hAnsi="Times New Roman"/>
          <w:sz w:val="28"/>
          <w:szCs w:val="28"/>
          <w:rtl w:val="0"/>
          <w:lang w:val="en-US"/>
        </w:rPr>
        <w:t>A black feminist or feminist of color. From the black folk expression of mothers to female children</w:t>
      </w:r>
      <w:r>
        <w:rPr>
          <w:rFonts w:ascii="Times New Roman" w:hAnsi="Times New Roman"/>
          <w:sz w:val="28"/>
          <w:szCs w:val="28"/>
          <w:rtl w:val="0"/>
          <w:lang w:val="en-US"/>
        </w:rPr>
        <w:t>.</w:t>
      </w:r>
      <w:r>
        <w:rPr>
          <w:rFonts w:ascii="Times New Roman" w:hAnsi="Times New Roman" w:hint="default"/>
          <w:sz w:val="28"/>
          <w:szCs w:val="28"/>
          <w:rtl w:val="0"/>
        </w:rPr>
        <w:t>”</w:t>
      </w:r>
      <w:r>
        <w:rPr>
          <w:rFonts w:ascii="Times New Roman" w:cs="Times New Roman" w:hAnsi="Times New Roman" w:eastAsia="Times New Roman"/>
          <w:sz w:val="28"/>
          <w:szCs w:val="28"/>
          <w:vertAlign w:val="superscript"/>
        </w:rPr>
        <w:footnoteReference w:id="1"/>
      </w:r>
      <w:r>
        <w:rPr>
          <w:rFonts w:ascii="Times New Roman" w:hAnsi="Times New Roman"/>
          <w:sz w:val="28"/>
          <w:szCs w:val="28"/>
          <w:rtl w:val="0"/>
        </w:rPr>
        <w:t xml:space="preserve"> </w:t>
      </w:r>
      <w:r>
        <w:rPr>
          <w:rFonts w:ascii="Times New Roman" w:hAnsi="Times New Roman"/>
          <w:sz w:val="28"/>
          <w:szCs w:val="28"/>
          <w:rtl w:val="0"/>
          <w:lang w:val="en-US"/>
        </w:rPr>
        <w:t>Womanism is a framework that centers the experiences of Black women, and especially African American women. That perspective is often missing from liberation and feminist theologies. Though womanism centers the experience of Black women, its aim is the flourishing and shalom of all people.</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A few months ago, I heard Dr. David Evans, professor of history and intercultural studies at Eastern Mennonite Seminary, speak about his new book, </w:t>
      </w:r>
      <w:r>
        <w:rPr>
          <w:rFonts w:ascii="Times New Roman" w:hAnsi="Times New Roman"/>
          <w:i w:val="1"/>
          <w:iCs w:val="1"/>
          <w:sz w:val="28"/>
          <w:szCs w:val="28"/>
          <w:rtl w:val="0"/>
          <w:lang w:val="en-US"/>
        </w:rPr>
        <w:t>Damned Whiteness</w:t>
      </w:r>
      <w:r>
        <w:rPr>
          <w:rFonts w:ascii="Times New Roman" w:hAnsi="Times New Roman"/>
          <w:sz w:val="28"/>
          <w:szCs w:val="28"/>
          <w:rtl w:val="0"/>
          <w:lang w:val="en-US"/>
        </w:rPr>
        <w:t xml:space="preserve">. I wish I could remember his exact words, but essentially, he said that listening to and empowering Black women is the surest path to liberation for all people. Other liberation movements have been far less intersectional, and even exclusionary. Dr. Gafney points to the leaders of the civil rights and black power movements, and many male pastors in the Black church, who </w:t>
      </w:r>
      <w:r>
        <w:rPr>
          <w:rFonts w:ascii="Times New Roman" w:hAnsi="Times New Roman" w:hint="default"/>
          <w:sz w:val="28"/>
          <w:szCs w:val="28"/>
          <w:rtl w:val="0"/>
          <w:lang w:val="en-US"/>
        </w:rPr>
        <w:t>“</w:t>
      </w:r>
      <w:r>
        <w:rPr>
          <w:rFonts w:ascii="Times New Roman" w:hAnsi="Times New Roman"/>
          <w:sz w:val="28"/>
          <w:szCs w:val="28"/>
          <w:rtl w:val="0"/>
          <w:lang w:val="en-US"/>
        </w:rPr>
        <w:t>kept women in their place</w:t>
      </w:r>
      <w:r>
        <w:rPr>
          <w:rFonts w:ascii="Times New Roman" w:hAnsi="Times New Roman" w:hint="default"/>
          <w:sz w:val="28"/>
          <w:szCs w:val="28"/>
          <w:rtl w:val="0"/>
          <w:lang w:val="en-US"/>
        </w:rPr>
        <w:t xml:space="preserve">” </w:t>
      </w:r>
      <w:r>
        <w:rPr>
          <w:rFonts w:ascii="Times New Roman" w:hAnsi="Times New Roman"/>
          <w:sz w:val="28"/>
          <w:szCs w:val="28"/>
          <w:rtl w:val="0"/>
          <w:lang w:val="en-US"/>
        </w:rPr>
        <w:t xml:space="preserve">and excluded </w:t>
      </w:r>
      <w:r>
        <w:rPr>
          <w:rFonts w:ascii="Times New Roman" w:hAnsi="Times New Roman" w:hint="default"/>
          <w:sz w:val="28"/>
          <w:szCs w:val="28"/>
          <w:rtl w:val="0"/>
          <w:lang w:val="en-US"/>
        </w:rPr>
        <w:t>“</w:t>
      </w:r>
      <w:r>
        <w:rPr>
          <w:rFonts w:ascii="Times New Roman" w:hAnsi="Times New Roman"/>
          <w:sz w:val="28"/>
          <w:szCs w:val="28"/>
          <w:rtl w:val="0"/>
          <w:lang w:val="en-US"/>
        </w:rPr>
        <w:t>women from</w:t>
      </w:r>
      <w:r>
        <w:rPr>
          <w:rFonts w:ascii="Times New Roman" w:hAnsi="Times New Roman" w:hint="default"/>
          <w:sz w:val="28"/>
          <w:szCs w:val="28"/>
          <w:rtl w:val="0"/>
          <w:lang w:val="en-US"/>
        </w:rPr>
        <w:t>…</w:t>
      </w:r>
      <w:r>
        <w:rPr>
          <w:rFonts w:ascii="Times New Roman" w:hAnsi="Times New Roman"/>
          <w:sz w:val="28"/>
          <w:szCs w:val="28"/>
          <w:rtl w:val="0"/>
          <w:lang w:val="en-US"/>
        </w:rPr>
        <w:t>institutional leadership.</w:t>
      </w:r>
      <w:r>
        <w:rPr>
          <w:rFonts w:ascii="Times New Roman" w:hAnsi="Times New Roman" w:hint="default"/>
          <w:sz w:val="28"/>
          <w:szCs w:val="28"/>
          <w:rtl w:val="0"/>
          <w:lang w:val="en-US"/>
        </w:rPr>
        <w:t>”</w:t>
      </w:r>
      <w:r>
        <w:rPr>
          <w:rFonts w:ascii="Times New Roman" w:cs="Times New Roman" w:hAnsi="Times New Roman" w:eastAsia="Times New Roman"/>
          <w:sz w:val="28"/>
          <w:szCs w:val="28"/>
          <w:vertAlign w:val="superscript"/>
        </w:rPr>
        <w:footnoteReference w:id="2"/>
      </w:r>
      <w:r>
        <w:rPr>
          <w:rFonts w:ascii="Times New Roman" w:hAnsi="Times New Roman"/>
          <w:sz w:val="28"/>
          <w:szCs w:val="28"/>
          <w:rtl w:val="0"/>
          <w:lang w:val="en-US"/>
        </w:rPr>
        <w:t xml:space="preserve"> This story of these daughters of Zelophehad is a good case study.</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First, we have to name these women. Rather than calling them the daughters of Zelophehad, defined by their relation to a man, we can call them by name. Mahlah, Noah, Hoglah, Milcah, and Tirzah are among just over 100 women who are named in the Old Testament. </w:t>
      </w:r>
      <w:r>
        <w:rPr>
          <w:rFonts w:ascii="Times New Roman" w:hAnsi="Times New Roman" w:hint="default"/>
          <w:sz w:val="28"/>
          <w:szCs w:val="28"/>
          <w:rtl w:val="0"/>
          <w:lang w:val="en-US"/>
        </w:rPr>
        <w:t>“</w:t>
      </w:r>
      <w:r>
        <w:rPr>
          <w:rFonts w:ascii="Times New Roman" w:hAnsi="Times New Roman"/>
          <w:sz w:val="28"/>
          <w:szCs w:val="28"/>
          <w:rtl w:val="0"/>
          <w:lang w:val="en-US"/>
        </w:rPr>
        <w:t>According to Carol Meyers, of the 1,426 personal names that appear in the Hebrew text, 1,315 are presumed to be male.</w:t>
      </w:r>
      <w:r>
        <w:rPr>
          <w:rFonts w:ascii="Times New Roman" w:hAnsi="Times New Roman" w:hint="default"/>
          <w:sz w:val="28"/>
          <w:szCs w:val="28"/>
          <w:rtl w:val="0"/>
          <w:lang w:val="en-US"/>
        </w:rPr>
        <w:t>”</w:t>
      </w:r>
      <w:r>
        <w:rPr>
          <w:rFonts w:ascii="Times New Roman" w:cs="Times New Roman" w:hAnsi="Times New Roman" w:eastAsia="Times New Roman"/>
          <w:sz w:val="28"/>
          <w:szCs w:val="28"/>
          <w:vertAlign w:val="superscript"/>
        </w:rPr>
        <w:footnoteReference w:id="3"/>
      </w:r>
      <w:r>
        <w:rPr>
          <w:rFonts w:ascii="Times New Roman" w:hAnsi="Times New Roman"/>
          <w:sz w:val="28"/>
          <w:szCs w:val="28"/>
          <w:rtl w:val="0"/>
          <w:lang w:val="en-US"/>
        </w:rPr>
        <w:t xml:space="preserve"> When so many women are erased from the stories, or left nameless, we should use the names that are provided.</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Pr>
        <w:tab/>
      </w:r>
      <w:r>
        <w:rPr>
          <w:rFonts w:ascii="Times New Roman" w:hAnsi="Times New Roman"/>
          <w:sz w:val="28"/>
          <w:szCs w:val="28"/>
          <w:rtl w:val="0"/>
          <w:lang w:val="de-DE"/>
        </w:rPr>
        <w:t xml:space="preserve">Mahlah, Noah, Hoglah, Milcah, and Tirzah </w:t>
      </w:r>
      <w:r>
        <w:rPr>
          <w:rFonts w:ascii="Times New Roman" w:hAnsi="Times New Roman"/>
          <w:sz w:val="28"/>
          <w:szCs w:val="28"/>
          <w:rtl w:val="0"/>
          <w:lang w:val="en-US"/>
        </w:rPr>
        <w:t>are central characters in this story, along with Moses. Gafney compares Moses - the same person who was called to liberate the Hebrews from slavery in Egypt - to other men in leadership who have similarly upheld the disenfranchisement and disempowerment of women, especially women of color. Moses would never have survived long enough to be that leader without a number of women who protected him along the way. Moses</w:t>
      </w:r>
      <w:r>
        <w:rPr>
          <w:rFonts w:ascii="Times New Roman" w:hAnsi="Times New Roman" w:hint="default"/>
          <w:sz w:val="28"/>
          <w:szCs w:val="28"/>
          <w:rtl w:val="0"/>
          <w:lang w:val="en-US"/>
        </w:rPr>
        <w:t xml:space="preserve">’ </w:t>
      </w:r>
      <w:r>
        <w:rPr>
          <w:rFonts w:ascii="Times New Roman" w:hAnsi="Times New Roman"/>
          <w:sz w:val="28"/>
          <w:szCs w:val="28"/>
          <w:rtl w:val="0"/>
          <w:lang w:val="en-US"/>
        </w:rPr>
        <w:t>mother, Jochebed, and midwives like Shiphrah and Puah, refused to comply with Pharaoh</w:t>
      </w:r>
      <w:r>
        <w:rPr>
          <w:rFonts w:ascii="Times New Roman" w:hAnsi="Times New Roman" w:hint="default"/>
          <w:sz w:val="28"/>
          <w:szCs w:val="28"/>
          <w:rtl w:val="0"/>
          <w:lang w:val="en-US"/>
        </w:rPr>
        <w:t>’</w:t>
      </w:r>
      <w:r>
        <w:rPr>
          <w:rFonts w:ascii="Times New Roman" w:hAnsi="Times New Roman"/>
          <w:sz w:val="28"/>
          <w:szCs w:val="28"/>
          <w:rtl w:val="0"/>
          <w:lang w:val="en-US"/>
        </w:rPr>
        <w:t>s orders to kill baby boys. When Jochebed could no longer keep the baby a secret, his sister, Miriam, first kept watch over the baby in the basket, and then Pharaoh</w:t>
      </w:r>
      <w:r>
        <w:rPr>
          <w:rFonts w:ascii="Times New Roman" w:hAnsi="Times New Roman" w:hint="default"/>
          <w:sz w:val="28"/>
          <w:szCs w:val="28"/>
          <w:rtl w:val="0"/>
          <w:lang w:val="en-US"/>
        </w:rPr>
        <w:t>’</w:t>
      </w:r>
      <w:r>
        <w:rPr>
          <w:rFonts w:ascii="Times New Roman" w:hAnsi="Times New Roman"/>
          <w:sz w:val="28"/>
          <w:szCs w:val="28"/>
          <w:rtl w:val="0"/>
          <w:lang w:val="en-US"/>
        </w:rPr>
        <w:t>s daughter rescued him, and provided him a safe home that nurtured him to adulthood. Even so, his track record in dealing with women is not great.</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Things sound fine if we just focus on Numbers 27.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approach Moses, and he brings their case to God. God clearly answers the complaint.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are right. Though God pronounces other people righteous throughout Scripture, there is no other instance of God affirming, in the same clear and strong language, that someone is </w:t>
      </w:r>
      <w:r>
        <w:rPr>
          <w:rFonts w:ascii="Times New Roman" w:hAnsi="Times New Roman"/>
          <w:i w:val="1"/>
          <w:iCs w:val="1"/>
          <w:sz w:val="28"/>
          <w:szCs w:val="28"/>
          <w:rtl w:val="0"/>
          <w:lang w:val="en-US"/>
        </w:rPr>
        <w:t>right</w:t>
      </w:r>
      <w:r>
        <w:rPr>
          <w:rFonts w:ascii="Times New Roman" w:hAnsi="Times New Roman"/>
          <w:sz w:val="28"/>
          <w:szCs w:val="28"/>
          <w:rtl w:val="0"/>
          <w:lang w:val="en-US"/>
        </w:rPr>
        <w:t xml:space="preserve">. But these women are right. Correct. Moses is told, </w:t>
      </w:r>
      <w:r>
        <w:rPr>
          <w:rFonts w:ascii="Times New Roman" w:hAnsi="Times New Roman" w:hint="default"/>
          <w:sz w:val="28"/>
          <w:szCs w:val="28"/>
          <w:rtl w:val="0"/>
          <w:lang w:val="en-US"/>
        </w:rPr>
        <w:t>“</w:t>
      </w:r>
      <w:r>
        <w:rPr>
          <w:rFonts w:ascii="Times New Roman" w:hAnsi="Times New Roman"/>
          <w:sz w:val="28"/>
          <w:szCs w:val="28"/>
          <w:rtl w:val="0"/>
          <w:lang w:val="en-US"/>
        </w:rPr>
        <w:t>By all means, give them their inheritance.</w:t>
      </w:r>
      <w:r>
        <w:rPr>
          <w:rFonts w:ascii="Times New Roman" w:hAnsi="Times New Roman" w:hint="default"/>
          <w:sz w:val="28"/>
          <w:szCs w:val="28"/>
          <w:rtl w:val="0"/>
          <w:lang w:val="en-US"/>
        </w:rPr>
        <w:t xml:space="preserve">” </w:t>
      </w:r>
      <w:r>
        <w:rPr>
          <w:rFonts w:ascii="Times New Roman" w:hAnsi="Times New Roman"/>
          <w:sz w:val="28"/>
          <w:szCs w:val="28"/>
          <w:rtl w:val="0"/>
          <w:lang w:val="en-US"/>
        </w:rPr>
        <w:t>This isn</w:t>
      </w:r>
      <w:r>
        <w:rPr>
          <w:rFonts w:ascii="Times New Roman" w:hAnsi="Times New Roman" w:hint="default"/>
          <w:sz w:val="28"/>
          <w:szCs w:val="28"/>
          <w:rtl w:val="0"/>
          <w:lang w:val="en-US"/>
        </w:rPr>
        <w:t>’</w:t>
      </w:r>
      <w:r>
        <w:rPr>
          <w:rFonts w:ascii="Times New Roman" w:hAnsi="Times New Roman"/>
          <w:sz w:val="28"/>
          <w:szCs w:val="28"/>
          <w:rtl w:val="0"/>
          <w:lang w:val="en-US"/>
        </w:rPr>
        <w:t xml:space="preserve">t just a single judgment, but it becomes part of the law. The torah is changed because of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Moses passes all of this information along to the people. Case closed, right?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Just a few chapters later, one of Zelophehad</w:t>
      </w:r>
      <w:r>
        <w:rPr>
          <w:rFonts w:ascii="Times New Roman" w:hAnsi="Times New Roman" w:hint="default"/>
          <w:sz w:val="28"/>
          <w:szCs w:val="28"/>
          <w:rtl w:val="0"/>
          <w:lang w:val="en-US"/>
        </w:rPr>
        <w:t>’</w:t>
      </w:r>
      <w:r>
        <w:rPr>
          <w:rFonts w:ascii="Times New Roman" w:hAnsi="Times New Roman"/>
          <w:sz w:val="28"/>
          <w:szCs w:val="28"/>
          <w:rtl w:val="0"/>
          <w:lang w:val="en-US"/>
        </w:rPr>
        <w:t>s brothers appeals to Moses. He</w:t>
      </w:r>
      <w:r>
        <w:rPr>
          <w:rFonts w:ascii="Times New Roman" w:hAnsi="Times New Roman" w:hint="default"/>
          <w:sz w:val="28"/>
          <w:szCs w:val="28"/>
          <w:rtl w:val="0"/>
          <w:lang w:val="en-US"/>
        </w:rPr>
        <w:t>’</w:t>
      </w:r>
      <w:r>
        <w:rPr>
          <w:rFonts w:ascii="Times New Roman" w:hAnsi="Times New Roman"/>
          <w:sz w:val="28"/>
          <w:szCs w:val="28"/>
          <w:rtl w:val="0"/>
          <w:lang w:val="en-US"/>
        </w:rPr>
        <w:t xml:space="preserve">s concerned that if </w:t>
      </w:r>
      <w:r>
        <w:rPr>
          <w:rFonts w:ascii="Times New Roman" w:hAnsi="Times New Roman"/>
          <w:sz w:val="28"/>
          <w:szCs w:val="28"/>
          <w:rtl w:val="0"/>
          <w:lang w:val="de-DE"/>
        </w:rPr>
        <w:t xml:space="preserve">Mahlah, Noah, Hoglah, Milcah, </w:t>
      </w:r>
      <w:r>
        <w:rPr>
          <w:rFonts w:ascii="Times New Roman" w:hAnsi="Times New Roman"/>
          <w:sz w:val="28"/>
          <w:szCs w:val="28"/>
          <w:rtl w:val="0"/>
          <w:lang w:val="en-US"/>
        </w:rPr>
        <w:t>or</w:t>
      </w:r>
      <w:r>
        <w:rPr>
          <w:rFonts w:ascii="Times New Roman" w:hAnsi="Times New Roman"/>
          <w:sz w:val="28"/>
          <w:szCs w:val="28"/>
          <w:rtl w:val="0"/>
          <w:lang w:val="de-DE"/>
        </w:rPr>
        <w:t xml:space="preserve"> Tirzah</w:t>
      </w:r>
      <w:r>
        <w:rPr>
          <w:rFonts w:ascii="Times New Roman" w:hAnsi="Times New Roman"/>
          <w:sz w:val="28"/>
          <w:szCs w:val="28"/>
          <w:rtl w:val="0"/>
          <w:lang w:val="en-US"/>
        </w:rPr>
        <w:t xml:space="preserve"> marry into a different tribe, the land that should belong to </w:t>
      </w:r>
      <w:r>
        <w:rPr>
          <w:rFonts w:ascii="Times New Roman" w:hAnsi="Times New Roman"/>
          <w:i w:val="1"/>
          <w:iCs w:val="1"/>
          <w:sz w:val="28"/>
          <w:szCs w:val="28"/>
          <w:rtl w:val="0"/>
          <w:lang w:val="en-US"/>
        </w:rPr>
        <w:t>his</w:t>
      </w:r>
      <w:r>
        <w:rPr>
          <w:rFonts w:ascii="Times New Roman" w:hAnsi="Times New Roman"/>
          <w:sz w:val="28"/>
          <w:szCs w:val="28"/>
          <w:rtl w:val="0"/>
          <w:lang w:val="en-US"/>
        </w:rPr>
        <w:t xml:space="preserve"> tribe and family would go to another tribe. Moses doesn</w:t>
      </w:r>
      <w:r>
        <w:rPr>
          <w:rFonts w:ascii="Times New Roman" w:hAnsi="Times New Roman" w:hint="default"/>
          <w:sz w:val="28"/>
          <w:szCs w:val="28"/>
          <w:rtl w:val="0"/>
          <w:lang w:val="en-US"/>
        </w:rPr>
        <w:t>’</w:t>
      </w:r>
      <w:r>
        <w:rPr>
          <w:rFonts w:ascii="Times New Roman" w:hAnsi="Times New Roman"/>
          <w:sz w:val="28"/>
          <w:szCs w:val="28"/>
          <w:rtl w:val="0"/>
          <w:lang w:val="en-US"/>
        </w:rPr>
        <w:t xml:space="preserve">t go back to God to arbitrate. Instead, he pronounces the brother right, and changes the law to restrict the rights of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They can marry anyone they want! As long as that person is in the same tribe. So they married their cousins. </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 xml:space="preserve">The story of </w:t>
      </w:r>
      <w:r>
        <w:rPr>
          <w:rFonts w:ascii="Times New Roman" w:hAnsi="Times New Roman"/>
          <w:sz w:val="28"/>
          <w:szCs w:val="28"/>
          <w:rtl w:val="0"/>
          <w:lang w:val="de-DE"/>
        </w:rPr>
        <w:t xml:space="preserve">Mahlah, Noah, Hoglah, Milcah, and Tirzah </w:t>
      </w:r>
      <w:r>
        <w:rPr>
          <w:rFonts w:ascii="Times New Roman" w:hAnsi="Times New Roman"/>
          <w:sz w:val="28"/>
          <w:szCs w:val="28"/>
          <w:rtl w:val="0"/>
          <w:lang w:val="en-US"/>
        </w:rPr>
        <w:t xml:space="preserve">is not very well-known, and yet Gafney argues they are among the most important women in the Bible. </w:t>
      </w:r>
      <w:r>
        <w:rPr>
          <w:rFonts w:ascii="Times New Roman" w:hAnsi="Times New Roman" w:hint="default"/>
          <w:sz w:val="28"/>
          <w:szCs w:val="28"/>
          <w:rtl w:val="0"/>
          <w:lang w:val="en-US"/>
        </w:rPr>
        <w:t>“</w:t>
      </w:r>
      <w:r>
        <w:rPr>
          <w:rFonts w:ascii="Times New Roman" w:hAnsi="Times New Roman"/>
          <w:sz w:val="28"/>
          <w:szCs w:val="28"/>
          <w:rtl w:val="0"/>
          <w:lang w:val="en-US"/>
        </w:rPr>
        <w:t>Their story is so important that they are mentioned in five different places: [three times in Numbers, and again in Joshua and 1 Chronicles].</w:t>
      </w:r>
      <w:r>
        <w:rPr>
          <w:rFonts w:ascii="Times New Roman" w:hAnsi="Times New Roman" w:hint="default"/>
          <w:sz w:val="28"/>
          <w:szCs w:val="28"/>
          <w:rtl w:val="0"/>
          <w:lang w:val="en-US"/>
        </w:rPr>
        <w:t>”</w:t>
      </w:r>
      <w:r>
        <w:rPr>
          <w:rFonts w:ascii="Times New Roman" w:cs="Times New Roman" w:hAnsi="Times New Roman" w:eastAsia="Times New Roman"/>
          <w:sz w:val="28"/>
          <w:szCs w:val="28"/>
          <w:vertAlign w:val="superscript"/>
        </w:rPr>
        <w:footnoteReference w:id="4"/>
      </w:r>
      <w:r>
        <w:rPr>
          <w:rFonts w:ascii="Times New Roman" w:hAnsi="Times New Roman"/>
          <w:sz w:val="28"/>
          <w:szCs w:val="28"/>
          <w:rtl w:val="0"/>
          <w:lang w:val="en-US"/>
        </w:rPr>
        <w:t xml:space="preserve"> Reading these other passages, we learn that, even though God told Moses to give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their inheritance, he didn</w:t>
      </w:r>
      <w:r>
        <w:rPr>
          <w:rFonts w:ascii="Times New Roman" w:hAnsi="Times New Roman" w:hint="default"/>
          <w:sz w:val="28"/>
          <w:szCs w:val="28"/>
          <w:rtl w:val="0"/>
          <w:lang w:val="en-US"/>
        </w:rPr>
        <w:t>’</w:t>
      </w:r>
      <w:r>
        <w:rPr>
          <w:rFonts w:ascii="Times New Roman" w:hAnsi="Times New Roman"/>
          <w:sz w:val="28"/>
          <w:szCs w:val="28"/>
          <w:rtl w:val="0"/>
          <w:lang w:val="en-US"/>
        </w:rPr>
        <w:t>t do it. Ever. They had to appeal to Joshua, in a scene very similar to this one. God was clear in God</w:t>
      </w:r>
      <w:r>
        <w:rPr>
          <w:rFonts w:ascii="Times New Roman" w:hAnsi="Times New Roman" w:hint="default"/>
          <w:sz w:val="28"/>
          <w:szCs w:val="28"/>
          <w:rtl w:val="0"/>
          <w:lang w:val="en-US"/>
        </w:rPr>
        <w:t>’</w:t>
      </w:r>
      <w:r>
        <w:rPr>
          <w:rFonts w:ascii="Times New Roman" w:hAnsi="Times New Roman"/>
          <w:sz w:val="28"/>
          <w:szCs w:val="28"/>
          <w:rtl w:val="0"/>
          <w:lang w:val="en-US"/>
        </w:rPr>
        <w:t xml:space="preserve">s pronouncement.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should get the land that would have gone to their father, without any conditions or delay.</w:t>
        <w:tab/>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Their final appearance in Scripture is in the Manassait genealogy, where they are referred to again only as Zelophehad</w:t>
      </w:r>
      <w:r>
        <w:rPr>
          <w:rFonts w:ascii="Times New Roman" w:hAnsi="Times New Roman" w:hint="default"/>
          <w:sz w:val="28"/>
          <w:szCs w:val="28"/>
          <w:rtl w:val="0"/>
          <w:lang w:val="en-US"/>
        </w:rPr>
        <w:t>’</w:t>
      </w:r>
      <w:r>
        <w:rPr>
          <w:rFonts w:ascii="Times New Roman" w:hAnsi="Times New Roman"/>
          <w:sz w:val="28"/>
          <w:szCs w:val="28"/>
          <w:rtl w:val="0"/>
          <w:lang w:val="en-US"/>
        </w:rPr>
        <w:t xml:space="preserve">s daughters. Gafney notes that there is no mention that any had children, which she posits may have been the consequence of their lengthy fight for equal rights. By the time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finally got their inheritance, it may have been too late for them to start families with their husbands of limited choice.</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It</w:t>
      </w:r>
      <w:r>
        <w:rPr>
          <w:rFonts w:ascii="Times New Roman" w:hAnsi="Times New Roman" w:hint="default"/>
          <w:sz w:val="28"/>
          <w:szCs w:val="28"/>
          <w:rtl w:val="0"/>
          <w:lang w:val="en-US"/>
        </w:rPr>
        <w:t>’</w:t>
      </w:r>
      <w:r>
        <w:rPr>
          <w:rFonts w:ascii="Times New Roman" w:hAnsi="Times New Roman"/>
          <w:sz w:val="28"/>
          <w:szCs w:val="28"/>
          <w:rtl w:val="0"/>
          <w:lang w:val="en-US"/>
        </w:rPr>
        <w:t>s a fascinating story, isn</w:t>
      </w:r>
      <w:r>
        <w:rPr>
          <w:rFonts w:ascii="Times New Roman" w:hAnsi="Times New Roman" w:hint="default"/>
          <w:sz w:val="28"/>
          <w:szCs w:val="28"/>
          <w:rtl w:val="0"/>
          <w:lang w:val="en-US"/>
        </w:rPr>
        <w:t>’</w:t>
      </w:r>
      <w:r>
        <w:rPr>
          <w:rFonts w:ascii="Times New Roman" w:hAnsi="Times New Roman"/>
          <w:sz w:val="28"/>
          <w:szCs w:val="28"/>
          <w:rtl w:val="0"/>
          <w:lang w:val="en-US"/>
        </w:rPr>
        <w:t>t it? It</w:t>
      </w:r>
      <w:r>
        <w:rPr>
          <w:rFonts w:ascii="Times New Roman" w:hAnsi="Times New Roman" w:hint="default"/>
          <w:sz w:val="28"/>
          <w:szCs w:val="28"/>
          <w:rtl w:val="0"/>
          <w:lang w:val="en-US"/>
        </w:rPr>
        <w:t>’</w:t>
      </w:r>
      <w:r>
        <w:rPr>
          <w:rFonts w:ascii="Times New Roman" w:hAnsi="Times New Roman"/>
          <w:sz w:val="28"/>
          <w:szCs w:val="28"/>
          <w:rtl w:val="0"/>
          <w:lang w:val="en-US"/>
        </w:rPr>
        <w:t xml:space="preserve">s important for us to remember these daughters by name: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They are celebrated for their pluck, determination, and success in securing somewhat equal rights, but the liberation is delayed and diminished, and their story is too soon forgotten. A little like Juneteenth. Juneteenth is a celebration of liberation. It took months after the end of the Civil War for news of emancipation to reach the whole country. It didn</w:t>
      </w:r>
      <w:r>
        <w:rPr>
          <w:rFonts w:ascii="Times New Roman" w:hAnsi="Times New Roman" w:hint="default"/>
          <w:sz w:val="28"/>
          <w:szCs w:val="28"/>
          <w:rtl w:val="0"/>
          <w:lang w:val="en-US"/>
        </w:rPr>
        <w:t>’</w:t>
      </w:r>
      <w:r>
        <w:rPr>
          <w:rFonts w:ascii="Times New Roman" w:hAnsi="Times New Roman"/>
          <w:sz w:val="28"/>
          <w:szCs w:val="28"/>
          <w:rtl w:val="0"/>
          <w:lang w:val="en-US"/>
        </w:rPr>
        <w:t>t take long for former Confederate states to start imposing other ways to disenfranchise and disempower Black citizens. God</w:t>
      </w:r>
      <w:r>
        <w:rPr>
          <w:rFonts w:ascii="Times New Roman" w:hAnsi="Times New Roman" w:hint="default"/>
          <w:sz w:val="28"/>
          <w:szCs w:val="28"/>
          <w:rtl w:val="0"/>
          <w:lang w:val="en-US"/>
        </w:rPr>
        <w:t>’</w:t>
      </w:r>
      <w:r>
        <w:rPr>
          <w:rFonts w:ascii="Times New Roman" w:hAnsi="Times New Roman"/>
          <w:sz w:val="28"/>
          <w:szCs w:val="28"/>
          <w:rtl w:val="0"/>
          <w:lang w:val="en-US"/>
        </w:rPr>
        <w:t>s stance on liberation is clear. Equally clear is the dogged persistence of historically privileged people to undermine it, perpetuating systems of injustice and oppression. If we want to break these cycles, we need to keep telling these stories and speaking the names.</w:t>
      </w:r>
    </w:p>
    <w:p>
      <w:pPr>
        <w:pStyle w:val="Body"/>
        <w:spacing w:line="480" w:lineRule="auto"/>
        <w:rPr>
          <w:rFonts w:ascii="Times New Roman" w:cs="Times New Roman" w:hAnsi="Times New Roman" w:eastAsia="Times New Roman"/>
          <w:sz w:val="28"/>
          <w:szCs w:val="28"/>
        </w:rPr>
      </w:pPr>
      <w:r>
        <w:rPr>
          <w:rFonts w:ascii="Times New Roman" w:cs="Times New Roman" w:hAnsi="Times New Roman" w:eastAsia="Times New Roman"/>
          <w:sz w:val="28"/>
          <w:szCs w:val="28"/>
          <w:rtl w:val="0"/>
        </w:rPr>
        <w:tab/>
        <w:t>Black women have been central to the work of liberation and keepers of these sacred stories for many years. They were the driving forces behind the earliest Juneteenth celebrations. Not only did they prepare the food, organize communities, and plan the festivities, women like Miss M.J. Brydie, Mrs. F.L. Williams, and Hattie F. Bryant were featured speakers some of the earliest celebrations.</w:t>
      </w:r>
      <w:r>
        <w:rPr>
          <w:rFonts w:ascii="Times New Roman" w:cs="Times New Roman" w:hAnsi="Times New Roman" w:eastAsia="Times New Roman"/>
          <w:sz w:val="28"/>
          <w:szCs w:val="28"/>
          <w:vertAlign w:val="superscript"/>
        </w:rPr>
        <w:footnoteReference w:id="5"/>
      </w:r>
      <w:r>
        <w:rPr>
          <w:rFonts w:ascii="Times New Roman" w:hAnsi="Times New Roman"/>
          <w:sz w:val="28"/>
          <w:szCs w:val="28"/>
          <w:rtl w:val="0"/>
          <w:lang w:val="en-US"/>
        </w:rPr>
        <w:t xml:space="preserve"> Opal Lee was just 13 years old on Juneteenth in 1939, when her family</w:t>
      </w:r>
      <w:r>
        <w:rPr>
          <w:rFonts w:ascii="Times New Roman" w:hAnsi="Times New Roman" w:hint="default"/>
          <w:sz w:val="28"/>
          <w:szCs w:val="28"/>
          <w:rtl w:val="0"/>
          <w:lang w:val="en-US"/>
        </w:rPr>
        <w:t>’</w:t>
      </w:r>
      <w:r>
        <w:rPr>
          <w:rFonts w:ascii="Times New Roman" w:hAnsi="Times New Roman"/>
          <w:sz w:val="28"/>
          <w:szCs w:val="28"/>
          <w:rtl w:val="0"/>
          <w:lang w:val="en-US"/>
        </w:rPr>
        <w:t xml:space="preserve">s home was burned to the ground by a white mob during the celebration. In 2016, at the age of 89, she planned a 1,400 mile walk from her home in Texas to Washington, DC, to bring national attention to Juneteenth. She completed 300 miles, and collected 1.6 million signatures of public support to make Juneteenth a national holiday. She was present when President Biden signed the legislation in 2021, and she is often called the </w:t>
      </w:r>
      <w:r>
        <w:rPr>
          <w:rFonts w:ascii="Times New Roman" w:hAnsi="Times New Roman" w:hint="default"/>
          <w:sz w:val="28"/>
          <w:szCs w:val="28"/>
          <w:rtl w:val="0"/>
          <w:lang w:val="en-US"/>
        </w:rPr>
        <w:t>“</w:t>
      </w:r>
      <w:r>
        <w:rPr>
          <w:rFonts w:ascii="Times New Roman" w:hAnsi="Times New Roman"/>
          <w:sz w:val="28"/>
          <w:szCs w:val="28"/>
          <w:rtl w:val="0"/>
          <w:lang w:val="en-US"/>
        </w:rPr>
        <w:t>Grandmother of Juneteenth.</w:t>
      </w:r>
      <w:r>
        <w:rPr>
          <w:rFonts w:ascii="Times New Roman" w:hAnsi="Times New Roman" w:hint="default"/>
          <w:sz w:val="28"/>
          <w:szCs w:val="28"/>
          <w:rtl w:val="0"/>
          <w:lang w:val="en-US"/>
        </w:rPr>
        <w:t>”</w:t>
      </w:r>
      <w:r>
        <w:rPr>
          <w:rFonts w:ascii="Times New Roman" w:cs="Times New Roman" w:hAnsi="Times New Roman" w:eastAsia="Times New Roman"/>
          <w:sz w:val="28"/>
          <w:szCs w:val="28"/>
          <w:vertAlign w:val="superscript"/>
        </w:rPr>
        <w:footnoteReference w:id="6"/>
      </w:r>
    </w:p>
    <w:p>
      <w:pPr>
        <w:pStyle w:val="Body"/>
        <w:spacing w:line="480" w:lineRule="auto"/>
      </w:pPr>
      <w:r>
        <w:rPr>
          <w:rFonts w:ascii="Times New Roman" w:cs="Times New Roman" w:hAnsi="Times New Roman" w:eastAsia="Times New Roman"/>
          <w:sz w:val="28"/>
          <w:szCs w:val="28"/>
        </w:rPr>
        <w:tab/>
      </w:r>
      <w:r>
        <w:rPr>
          <w:rFonts w:ascii="Times New Roman" w:hAnsi="Times New Roman"/>
          <w:sz w:val="28"/>
          <w:szCs w:val="28"/>
          <w:rtl w:val="0"/>
          <w:lang w:val="en-US"/>
        </w:rPr>
        <w:t xml:space="preserve">Mary McLeod Bethune, </w:t>
      </w:r>
      <w:r>
        <w:rPr>
          <w:rFonts w:ascii="Times New Roman" w:hAnsi="Times New Roman"/>
          <w:sz w:val="28"/>
          <w:szCs w:val="28"/>
          <w:rtl w:val="0"/>
          <w:lang w:val="en-US"/>
        </w:rPr>
        <w:t xml:space="preserve">Ida B. Wells, </w:t>
      </w:r>
      <w:r>
        <w:rPr>
          <w:rFonts w:ascii="Times New Roman" w:hAnsi="Times New Roman"/>
          <w:sz w:val="28"/>
          <w:szCs w:val="28"/>
          <w:rtl w:val="0"/>
        </w:rPr>
        <w:t xml:space="preserve">Josephine Baker, </w:t>
      </w:r>
      <w:r>
        <w:rPr>
          <w:rFonts w:ascii="Times New Roman" w:hAnsi="Times New Roman"/>
          <w:sz w:val="28"/>
          <w:szCs w:val="28"/>
          <w:rtl w:val="0"/>
          <w:lang w:val="en-US"/>
        </w:rPr>
        <w:t xml:space="preserve">Claudette Colvin, Rosa Parks, Ella Baker, Diane Nash, Daisy Bates, Fannie Lou Hamer, Ruby Bridges, Mahalia Jackson, Joanne Robinson, </w:t>
      </w:r>
      <w:r>
        <w:rPr>
          <w:rFonts w:ascii="Times New Roman" w:hAnsi="Times New Roman"/>
          <w:sz w:val="28"/>
          <w:szCs w:val="28"/>
          <w:rtl w:val="0"/>
        </w:rPr>
        <w:t xml:space="preserve">Angela Davis, </w:t>
      </w:r>
      <w:r>
        <w:rPr>
          <w:rFonts w:ascii="Times New Roman" w:hAnsi="Times New Roman"/>
          <w:sz w:val="28"/>
          <w:szCs w:val="28"/>
          <w:rtl w:val="0"/>
          <w:lang w:val="en-US"/>
        </w:rPr>
        <w:t xml:space="preserve">Barbara Johns, Lucy Simms, and so many others stand on the shoulders of Harriet Tubman, Sojourner Truth, Phillis Wheatley, and more. To this woefully incomplete list, we add the names of </w:t>
      </w:r>
      <w:r>
        <w:rPr>
          <w:rFonts w:ascii="Times New Roman" w:hAnsi="Times New Roman"/>
          <w:sz w:val="28"/>
          <w:szCs w:val="28"/>
          <w:rtl w:val="0"/>
          <w:lang w:val="de-DE"/>
        </w:rPr>
        <w:t>Mahlah, Noah, Hoglah, Milcah, and Tirzah</w:t>
      </w:r>
      <w:r>
        <w:rPr>
          <w:rFonts w:ascii="Times New Roman" w:hAnsi="Times New Roman"/>
          <w:sz w:val="28"/>
          <w:szCs w:val="28"/>
          <w:rtl w:val="0"/>
          <w:lang w:val="en-US"/>
        </w:rPr>
        <w:t xml:space="preserve">. </w:t>
      </w:r>
      <w:r>
        <w:rPr>
          <w:rFonts w:ascii="Times New Roman" w:hAnsi="Times New Roman"/>
          <w:sz w:val="28"/>
          <w:szCs w:val="28"/>
          <w:rtl w:val="0"/>
          <w:lang w:val="en-US"/>
        </w:rPr>
        <w:t xml:space="preserve">We speak their names and remember their stories. </w:t>
      </w:r>
      <w:r>
        <w:rPr>
          <w:rFonts w:ascii="Times New Roman" w:hAnsi="Times New Roman"/>
          <w:sz w:val="28"/>
          <w:szCs w:val="28"/>
          <w:rtl w:val="0"/>
          <w:lang w:val="en-US"/>
        </w:rPr>
        <w:t xml:space="preserve">We celebrate their courage and leadership in claiming and proclaiming the Gospel truth of radical equality within the diverse tapestry of the beloved community of God. </w:t>
      </w:r>
      <w:r>
        <w:rPr>
          <w:rFonts w:ascii="Times New Roman" w:hAnsi="Times New Roman"/>
          <w:sz w:val="28"/>
          <w:szCs w:val="28"/>
          <w:rtl w:val="0"/>
        </w:rPr>
        <w:t>God</w:t>
      </w:r>
      <w:r>
        <w:rPr>
          <w:rFonts w:ascii="Times New Roman" w:hAnsi="Times New Roman" w:hint="default"/>
          <w:sz w:val="28"/>
          <w:szCs w:val="28"/>
          <w:rtl w:val="1"/>
        </w:rPr>
        <w:t>’</w:t>
      </w:r>
      <w:r>
        <w:rPr>
          <w:rFonts w:ascii="Times New Roman" w:hAnsi="Times New Roman"/>
          <w:sz w:val="28"/>
          <w:szCs w:val="28"/>
          <w:rtl w:val="0"/>
          <w:lang w:val="en-US"/>
        </w:rPr>
        <w:t>s liberating work will persist, despite the human propensity to deny, delay, and diminish.</w:t>
      </w:r>
      <w:r>
        <w:rPr>
          <w:rFonts w:ascii="Times New Roman" w:hAnsi="Times New Roman"/>
          <w:sz w:val="28"/>
          <w:szCs w:val="28"/>
          <w:rtl w:val="0"/>
          <w:lang w:val="en-US"/>
        </w:rPr>
        <w:t xml:space="preserve"> </w:t>
      </w:r>
      <w:r>
        <w:rPr>
          <w:rFonts w:ascii="Times New Roman" w:hAnsi="Times New Roman"/>
          <w:sz w:val="28"/>
          <w:szCs w:val="28"/>
          <w:rtl w:val="0"/>
          <w:lang w:val="en-US"/>
        </w:rPr>
        <w:t xml:space="preserve">Inspired by their witness, empowered by the Spirit, and following Jesus, </w:t>
      </w:r>
      <w:r>
        <w:rPr>
          <w:rFonts w:ascii="Times New Roman" w:hAnsi="Times New Roman"/>
          <w:sz w:val="28"/>
          <w:szCs w:val="28"/>
          <w:rtl w:val="0"/>
          <w:lang w:val="en-US"/>
        </w:rPr>
        <w:t xml:space="preserve">may we discern the work that is ours to do, and may we walk this road together. Amen.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footnotes.xml><?xml version="1.0" encoding="utf-8"?>
<w:footnotes xmlns:w="http://schemas.openxmlformats.org/wordprocessingml/2006/main" xmlns:r="http://schemas.openxmlformats.org/officeDocument/2006/relationships" xmlns:w14="http://schemas.microsoft.com/office/word/2010/wordml" xmlns:wp="http://schemas.openxmlformats.org/drawingml/2006/wordprocessingDrawing" xmlns:m="http://schemas.openxmlformats.org/officeDocument/2006/math">
  <w:footnote w:type="separator" w:id="-1">
    <w:p>
      <w:r>
        <w:separator/>
      </w:r>
    </w:p>
  </w:footnote>
  <w:footnote w:type="continuationSeparator" w:id="0">
    <w:p>
      <w:r>
        <w:continuationSeparator/>
      </w:r>
    </w:p>
  </w:footnote>
  <w:footnote w:type="continuationNotice" w:id="-2">
    <w:p>
      <w:r>
        <w:t/>
      </w:r>
    </w:p>
  </w:footnote>
  <w:footnote w:id="1">
    <w:p>
      <w:pPr>
        <w:pStyle w:val="Footnote"/>
        <w:bidi w:val="0"/>
      </w:pPr>
      <w:r>
        <w:rPr>
          <w:vertAlign w:val="superscript"/>
        </w:rPr>
        <w:footnoteRef/>
      </w:r>
      <w:r>
        <w:rPr>
          <w:rFonts w:cs="Arial Unicode MS" w:eastAsia="Arial Unicode MS"/>
          <w:rtl w:val="0"/>
          <w:lang w:val="en-US"/>
        </w:rPr>
        <w:t xml:space="preserve"> https://sojo.net/articles/opinion/liberating-theology-transformed-my-understanding-god</w:t>
      </w:r>
    </w:p>
  </w:footnote>
  <w:footnote w:id="2">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 xml:space="preserve">Wilda C. Gafney, </w:t>
      </w:r>
      <w:r>
        <w:rPr>
          <w:rFonts w:cs="Arial Unicode MS" w:eastAsia="Arial Unicode MS"/>
          <w:i w:val="1"/>
          <w:iCs w:val="1"/>
          <w:rtl w:val="0"/>
          <w:lang w:val="en-US"/>
        </w:rPr>
        <w:t>Womanist Midrash</w:t>
      </w:r>
      <w:r>
        <w:rPr>
          <w:rFonts w:cs="Arial Unicode MS" w:eastAsia="Arial Unicode MS"/>
          <w:rtl w:val="0"/>
          <w:lang w:val="en-US"/>
        </w:rPr>
        <w:t>, p. 163</w:t>
      </w:r>
    </w:p>
  </w:footnote>
  <w:footnote w:id="3">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Ibid, p. 157, in reference to Carol Meyer</w:t>
      </w:r>
      <w:r>
        <w:rPr>
          <w:rFonts w:cs="Arial Unicode MS" w:eastAsia="Arial Unicode MS" w:hint="default"/>
          <w:rtl w:val="0"/>
          <w:lang w:val="en-US"/>
        </w:rPr>
        <w:t>’</w:t>
      </w:r>
      <w:r>
        <w:rPr>
          <w:rFonts w:cs="Arial Unicode MS" w:eastAsia="Arial Unicode MS"/>
          <w:rtl w:val="0"/>
          <w:lang w:val="en-US"/>
        </w:rPr>
        <w:t xml:space="preserve">s essay </w:t>
      </w:r>
      <w:r>
        <w:rPr>
          <w:rFonts w:cs="Arial Unicode MS" w:eastAsia="Arial Unicode MS" w:hint="default"/>
          <w:rtl w:val="0"/>
          <w:lang w:val="en-US"/>
        </w:rPr>
        <w:t>“</w:t>
      </w:r>
      <w:r>
        <w:rPr>
          <w:rFonts w:cs="Arial Unicode MS" w:eastAsia="Arial Unicode MS"/>
          <w:rtl w:val="0"/>
          <w:lang w:val="en-US"/>
        </w:rPr>
        <w:t>Everyday Life</w:t>
      </w:r>
      <w:r>
        <w:rPr>
          <w:rFonts w:cs="Arial Unicode MS" w:eastAsia="Arial Unicode MS" w:hint="default"/>
          <w:rtl w:val="0"/>
          <w:lang w:val="en-US"/>
        </w:rPr>
        <w:t xml:space="preserve">” </w:t>
      </w:r>
      <w:r>
        <w:rPr>
          <w:rFonts w:cs="Arial Unicode MS" w:eastAsia="Arial Unicode MS"/>
          <w:rtl w:val="0"/>
          <w:lang w:val="en-US"/>
        </w:rPr>
        <w:t xml:space="preserve">in the </w:t>
      </w:r>
      <w:r>
        <w:rPr>
          <w:rFonts w:cs="Arial Unicode MS" w:eastAsia="Arial Unicode MS"/>
          <w:i w:val="1"/>
          <w:iCs w:val="1"/>
          <w:rtl w:val="0"/>
          <w:lang w:val="en-US"/>
        </w:rPr>
        <w:t>Women</w:t>
      </w:r>
      <w:r>
        <w:rPr>
          <w:rFonts w:cs="Arial Unicode MS" w:eastAsia="Arial Unicode MS" w:hint="default"/>
          <w:i w:val="1"/>
          <w:iCs w:val="1"/>
          <w:rtl w:val="0"/>
          <w:lang w:val="en-US"/>
        </w:rPr>
        <w:t>’</w:t>
      </w:r>
      <w:r>
        <w:rPr>
          <w:rFonts w:cs="Arial Unicode MS" w:eastAsia="Arial Unicode MS"/>
          <w:i w:val="1"/>
          <w:iCs w:val="1"/>
          <w:rtl w:val="0"/>
          <w:lang w:val="en-US"/>
        </w:rPr>
        <w:t>s Bible Commentary</w:t>
      </w:r>
    </w:p>
  </w:footnote>
  <w:footnote w:id="4">
    <w:p>
      <w:pPr>
        <w:pStyle w:val="Footnote"/>
        <w:bidi w:val="0"/>
      </w:pPr>
      <w:r>
        <w:rPr>
          <w:vertAlign w:val="superscript"/>
        </w:rPr>
        <w:footnoteRef/>
      </w:r>
      <w:r>
        <w:rPr>
          <w:rFonts w:cs="Arial Unicode MS" w:eastAsia="Arial Unicode MS"/>
          <w:rtl w:val="0"/>
        </w:rPr>
        <w:t xml:space="preserve"> </w:t>
      </w:r>
      <w:r>
        <w:rPr>
          <w:rFonts w:cs="Arial Unicode MS" w:eastAsia="Arial Unicode MS"/>
          <w:rtl w:val="0"/>
          <w:lang w:val="en-US"/>
        </w:rPr>
        <w:t>Ibid, p. 156</w:t>
      </w:r>
    </w:p>
  </w:footnote>
  <w:footnote w:id="5">
    <w:p>
      <w:pPr>
        <w:pStyle w:val="Footnote"/>
        <w:bidi w:val="0"/>
      </w:pPr>
      <w:r>
        <w:rPr>
          <w:vertAlign w:val="superscript"/>
        </w:rPr>
        <w:footnoteRef/>
      </w:r>
      <w:r>
        <w:rPr>
          <w:rFonts w:cs="Arial Unicode MS" w:eastAsia="Arial Unicode MS"/>
          <w:rtl w:val="0"/>
          <w:lang w:val="en-US"/>
        </w:rPr>
        <w:t xml:space="preserve"> https://www.nyhistory.org/blogs/juneteenth-and-womens-history</w:t>
      </w:r>
    </w:p>
  </w:footnote>
  <w:footnote w:id="6">
    <w:p>
      <w:pPr>
        <w:pStyle w:val="Footnote"/>
        <w:bidi w:val="0"/>
      </w:pPr>
      <w:r>
        <w:rPr>
          <w:vertAlign w:val="superscript"/>
        </w:rPr>
        <w:footnoteRef/>
      </w:r>
      <w:r>
        <w:rPr>
          <w:rFonts w:cs="Arial Unicode MS" w:eastAsia="Arial Unicode MS"/>
          <w:rtl w:val="0"/>
          <w:lang w:val="en-US"/>
        </w:rPr>
        <w:t xml:space="preserve"> https://www.womenshistory.org/education-resources/biographies/opal-lee?gad_source=1&amp;gad_campaignid=23799900879&amp;gbraid=0AAAAA9wP6xjjeBqnlBkxnH0NCl45QTJkr&amp;gclid=CjwKCAjwxb7RBhA5EiwAQ-AAdGpIuGLi_fzZRmb2b-6at5dzALP_Tthj4RPdmwV-AbSNvXOm18L42xoC2NQQAvD_BwE</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Footnote">
    <w:name w:val="Footnote"/>
    <w:next w:val="Footnot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