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8" w:lineRule="auto"/>
        <w:ind w:left="0" w:right="0" w:firstLine="0"/>
        <w:jc w:val="center"/>
        <w:rPr>
          <w:rFonts w:ascii="Times New Roman" w:cs="Times New Roman" w:hAnsi="Times New Roman" w:eastAsia="Times New Roman"/>
          <w:b w:val="1"/>
          <w:bCs w:val="1"/>
          <w:sz w:val="28"/>
          <w:szCs w:val="28"/>
          <w:u w:val="single" w:color="000000"/>
          <w:rtl w:val="0"/>
          <w:lang w:val="en-US"/>
        </w:rPr>
      </w:pPr>
      <w:r>
        <w:rPr>
          <w:rFonts w:ascii="Times New Roman" w:hAnsi="Times New Roman"/>
          <w:b w:val="1"/>
          <w:bCs w:val="1"/>
          <w:sz w:val="28"/>
          <w:szCs w:val="28"/>
          <w:u w:val="single" w:color="000000"/>
          <w:rtl w:val="0"/>
          <w:lang w:val="en-US"/>
        </w:rPr>
        <w:t>Ways of Being Involved in Ministry at Trinity</w:t>
      </w: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b w:val="1"/>
          <w:bCs w:val="1"/>
          <w:sz w:val="28"/>
          <w:szCs w:val="28"/>
          <w:u w:color="000000"/>
          <w:rtl w:val="0"/>
          <w:lang w:val="en-US"/>
        </w:rPr>
        <w:t>Standing Administrative Teams</w:t>
      </w:r>
      <w:r>
        <w:rPr>
          <w:rFonts w:ascii="Times New Roman" w:hAnsi="Times New Roman"/>
          <w:sz w:val="28"/>
          <w:szCs w:val="28"/>
          <w:u w:color="000000"/>
          <w:rtl w:val="0"/>
          <w:lang w:val="en-US"/>
        </w:rPr>
        <w:t xml:space="preserve"> that meet monthly or as needed, with members who serve for the year including: Buildings and Grounds, Communications and Outreach,  Finance, Nominating, Pastoral Care, and Personnel, each with an active Ruling Elder who serves as Session liaison.</w:t>
      </w: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b w:val="1"/>
          <w:bCs w:val="1"/>
          <w:sz w:val="28"/>
          <w:szCs w:val="28"/>
          <w:u w:color="000000"/>
          <w:rtl w:val="0"/>
          <w:lang w:val="en-US"/>
        </w:rPr>
        <w:t>Seasonal Teams</w:t>
      </w:r>
      <w:r>
        <w:rPr>
          <w:rFonts w:ascii="Times New Roman" w:hAnsi="Times New Roman"/>
          <w:sz w:val="28"/>
          <w:szCs w:val="28"/>
          <w:u w:color="000000"/>
          <w:rtl w:val="0"/>
          <w:lang w:val="en-US"/>
        </w:rPr>
        <w:t xml:space="preserve"> meet initially with the pastor, and then are convened by an active Ruling Elder, who also serves as Session liaison for the season: Advent, Christmas, and Epiphany (ACE!), Lent, Easter, Pentecost, and Harvest. The primary </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program</w:t>
      </w:r>
      <w:r>
        <w:rPr>
          <w:rFonts w:ascii="Times New Roman" w:hAnsi="Times New Roman" w:hint="default"/>
          <w:sz w:val="28"/>
          <w:szCs w:val="28"/>
          <w:u w:color="000000"/>
          <w:rtl w:val="0"/>
          <w:lang w:val="en-US"/>
        </w:rPr>
        <w:t xml:space="preserve">” </w:t>
      </w:r>
      <w:r>
        <w:rPr>
          <w:rFonts w:ascii="Times New Roman" w:hAnsi="Times New Roman"/>
          <w:sz w:val="28"/>
          <w:szCs w:val="28"/>
          <w:u w:color="000000"/>
          <w:rtl w:val="0"/>
          <w:lang w:val="en-US"/>
        </w:rPr>
        <w:t xml:space="preserve">work of the church is planned by these teams, with opportunities for worship, nurture, mission, and fellowship planned for all ages and stages in the church. Teams will meet more frequently in the planning stage, and then primarily check in as needed during implementation. </w:t>
      </w: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b w:val="1"/>
          <w:bCs w:val="1"/>
          <w:sz w:val="28"/>
          <w:szCs w:val="28"/>
          <w:u w:color="000000"/>
          <w:rtl w:val="0"/>
          <w:lang w:val="en-US"/>
        </w:rPr>
        <w:t>House Churches:</w:t>
      </w:r>
      <w:r>
        <w:rPr>
          <w:rFonts w:ascii="Times New Roman" w:hAnsi="Times New Roman"/>
          <w:sz w:val="28"/>
          <w:szCs w:val="28"/>
          <w:u w:color="000000"/>
          <w:rtl w:val="0"/>
          <w:lang w:val="en-US"/>
        </w:rPr>
        <w:t xml:space="preserve"> typically called around a critical, focused, more long-term or </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external</w:t>
      </w:r>
      <w:r>
        <w:rPr>
          <w:rFonts w:ascii="Times New Roman" w:hAnsi="Times New Roman" w:hint="default"/>
          <w:sz w:val="28"/>
          <w:szCs w:val="28"/>
          <w:u w:color="000000"/>
          <w:rtl w:val="0"/>
          <w:lang w:val="en-US"/>
        </w:rPr>
        <w:t xml:space="preserve">”  </w:t>
      </w:r>
      <w:r>
        <w:rPr>
          <w:rFonts w:ascii="Times New Roman" w:hAnsi="Times New Roman"/>
          <w:sz w:val="28"/>
          <w:szCs w:val="28"/>
          <w:u w:color="000000"/>
          <w:rtl w:val="0"/>
          <w:lang w:val="en-US"/>
        </w:rPr>
        <w:t>outreach or mission. House Churches covenant together and include plans and leaders identified for all four marks of the church. Covenants are approved by the Session. House Churches close annually and may or may not choose to recall based on group discernment.</w:t>
      </w: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b w:val="1"/>
          <w:bCs w:val="1"/>
          <w:sz w:val="28"/>
          <w:szCs w:val="28"/>
          <w:u w:color="000000"/>
          <w:rtl w:val="0"/>
          <w:lang w:val="en-US"/>
        </w:rPr>
        <w:t>Marks Groups:</w:t>
      </w:r>
      <w:r>
        <w:rPr>
          <w:rFonts w:ascii="Times New Roman" w:hAnsi="Times New Roman"/>
          <w:sz w:val="28"/>
          <w:szCs w:val="28"/>
          <w:u w:color="000000"/>
          <w:rtl w:val="0"/>
          <w:lang w:val="en-US"/>
        </w:rPr>
        <w:t xml:space="preserve"> based on at least one of the four marks, this expands or complements the work of the church, and may focus on either internal or external needs. Calls/formation are approved by the Session. A Marks Group might be called to a short-term window or for a longer-term period. Leadership and membership may be less formal, with opportunities to join or participate in the work more open and fluid. Current examples include the Clothes Closet, Backpack ministry, Prayer Shawl Ministry, etc</w:t>
      </w:r>
      <w:r>
        <w:rPr>
          <w:rFonts w:ascii="Times New Roman" w:hAnsi="Times New Roman" w:hint="default"/>
          <w:sz w:val="28"/>
          <w:szCs w:val="28"/>
          <w:u w:color="000000"/>
          <w:rtl w:val="0"/>
          <w:lang w:val="en-US"/>
        </w:rPr>
        <w:t xml:space="preserve">… </w:t>
      </w: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r>
        <w:rPr>
          <w:rFonts w:ascii="Times New Roman" w:hAnsi="Times New Roman"/>
          <w:b w:val="1"/>
          <w:bCs w:val="1"/>
          <w:sz w:val="28"/>
          <w:szCs w:val="28"/>
          <w:u w:color="000000"/>
          <w:rtl w:val="0"/>
          <w:lang w:val="en-US"/>
        </w:rPr>
        <w:t>Ad Hoc Projects:</w:t>
      </w:r>
      <w:r>
        <w:rPr>
          <w:rFonts w:ascii="Times New Roman" w:hAnsi="Times New Roman"/>
          <w:sz w:val="28"/>
          <w:szCs w:val="28"/>
          <w:u w:color="000000"/>
          <w:rtl w:val="0"/>
          <w:lang w:val="en-US"/>
        </w:rPr>
        <w:t xml:space="preserve"> specific projects that are focused, typically short-term, and usually targeted toward an external mission, often responding to a new or pressing need. As with other projects, they must be approved by the Session. These may be stand-alone or integrated into other church structures above. Leadership can be self-generated or appointed by the Session or other teams. Examples include Open Doors, Presbyterian Disaster Assistance kits, short-term mission trips.</w:t>
      </w:r>
    </w:p>
    <w:p>
      <w:pPr>
        <w:pStyle w:val="Default"/>
        <w:bidi w:val="0"/>
        <w:spacing w:line="288" w:lineRule="auto"/>
        <w:ind w:left="0" w:right="0" w:firstLine="0"/>
        <w:jc w:val="left"/>
        <w:rPr>
          <w:rFonts w:ascii="Times New Roman" w:cs="Times New Roman" w:hAnsi="Times New Roman" w:eastAsia="Times New Roman"/>
          <w:sz w:val="28"/>
          <w:szCs w:val="28"/>
          <w:u w:color="000000"/>
          <w:rtl w:val="0"/>
          <w:lang w:val="en-US"/>
        </w:rPr>
      </w:pPr>
    </w:p>
    <w:p>
      <w:pPr>
        <w:pStyle w:val="Default"/>
        <w:bidi w:val="0"/>
        <w:spacing w:line="288" w:lineRule="auto"/>
        <w:ind w:left="0" w:right="0" w:firstLine="0"/>
        <w:jc w:val="left"/>
        <w:rPr>
          <w:rtl w:val="0"/>
        </w:rPr>
      </w:pPr>
      <w:r>
        <w:rPr>
          <w:rFonts w:ascii="Times New Roman" w:hAnsi="Times New Roman"/>
          <w:b w:val="1"/>
          <w:bCs w:val="1"/>
          <w:sz w:val="28"/>
          <w:szCs w:val="28"/>
          <w:u w:color="000000"/>
          <w:rtl w:val="0"/>
          <w:lang w:val="en-US"/>
        </w:rPr>
        <w:t xml:space="preserve">External Involvement of Members: </w:t>
      </w:r>
      <w:r>
        <w:rPr>
          <w:rFonts w:ascii="Times New Roman" w:hAnsi="Times New Roman"/>
          <w:sz w:val="28"/>
          <w:szCs w:val="28"/>
          <w:u w:color="000000"/>
          <w:rtl w:val="0"/>
          <w:lang w:val="en-US"/>
        </w:rPr>
        <w:t xml:space="preserve">many members at Trinity are very active in the community and in organizations beyond the congregation. We support and celebrate these involvements, some of which have official affiliations with Trinity, such as Faith in Action or the Virginia Interfaith Center for Public Policy. We hope to lift up more stories of involvement in the wider community. </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